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77" w:rsidRDefault="00395277">
      <w:pPr>
        <w:rPr>
          <w:rtl/>
        </w:rPr>
      </w:pPr>
    </w:p>
    <w:p w:rsidR="00F25722" w:rsidRDefault="00F25722" w:rsidP="00395277">
      <w:pPr>
        <w:jc w:val="center"/>
        <w:rPr>
          <w:b/>
          <w:bCs/>
          <w:rtl/>
        </w:rPr>
      </w:pPr>
      <w:bookmarkStart w:id="0" w:name="_GoBack"/>
      <w:bookmarkEnd w:id="0"/>
    </w:p>
    <w:p w:rsidR="00395277" w:rsidRPr="00395277" w:rsidRDefault="00C57B47" w:rsidP="00A0560C">
      <w:pPr>
        <w:jc w:val="center"/>
        <w:rPr>
          <w:b/>
          <w:bCs/>
        </w:rPr>
      </w:pPr>
      <w:r w:rsidRPr="00C57B47">
        <w:rPr>
          <w:b/>
          <w:bCs/>
          <w:rtl/>
        </w:rPr>
        <w:t>הסכם בדבר מתן מענק</w:t>
      </w:r>
      <w:r w:rsidR="00A739FC">
        <w:rPr>
          <w:rFonts w:hint="cs"/>
          <w:b/>
          <w:bCs/>
          <w:rtl/>
        </w:rPr>
        <w:t xml:space="preserve"> </w:t>
      </w:r>
      <w:r w:rsidRPr="00C57B47">
        <w:rPr>
          <w:b/>
          <w:bCs/>
          <w:rtl/>
        </w:rPr>
        <w:t xml:space="preserve">בשל </w:t>
      </w:r>
      <w:r w:rsidR="00A739FC">
        <w:rPr>
          <w:rFonts w:hint="cs"/>
          <w:b/>
          <w:bCs/>
          <w:rtl/>
        </w:rPr>
        <w:t xml:space="preserve">תקופת </w:t>
      </w:r>
      <w:r w:rsidRPr="00C57B47">
        <w:rPr>
          <w:b/>
          <w:bCs/>
          <w:rtl/>
        </w:rPr>
        <w:t xml:space="preserve">אבטלה ממושכת </w:t>
      </w:r>
      <w:r w:rsidR="00A0560C">
        <w:rPr>
          <w:rFonts w:hint="cs"/>
          <w:b/>
          <w:bCs/>
          <w:rtl/>
        </w:rPr>
        <w:t>לאור</w:t>
      </w:r>
      <w:r w:rsidR="00A739FC">
        <w:rPr>
          <w:rFonts w:hint="cs"/>
          <w:b/>
          <w:bCs/>
          <w:rtl/>
        </w:rPr>
        <w:t xml:space="preserve"> התפרצות נגיף הקורונה החדש</w:t>
      </w:r>
    </w:p>
    <w:p w:rsidR="00395277" w:rsidRPr="00395277" w:rsidRDefault="00395277" w:rsidP="00C57B47">
      <w:pPr>
        <w:spacing w:before="100" w:beforeAutospacing="1" w:after="100" w:afterAutospacing="1"/>
        <w:jc w:val="center"/>
      </w:pPr>
      <w:r w:rsidRPr="00395277">
        <w:rPr>
          <w:rFonts w:hint="cs"/>
          <w:rtl/>
        </w:rPr>
        <w:t xml:space="preserve">שנערך ונחתם בירושלים ביום </w:t>
      </w:r>
      <w:r w:rsidR="005347BD" w:rsidRPr="00395277">
        <w:rPr>
          <w:rFonts w:hint="cs"/>
          <w:rtl/>
        </w:rPr>
        <w:t>_______</w:t>
      </w:r>
      <w:r w:rsidR="005347BD">
        <w:rPr>
          <w:rFonts w:hint="cs"/>
          <w:rtl/>
        </w:rPr>
        <w:t xml:space="preserve"> התש</w:t>
      </w:r>
      <w:r w:rsidR="00C57B47">
        <w:rPr>
          <w:rFonts w:hint="cs"/>
          <w:rtl/>
        </w:rPr>
        <w:t>פ</w:t>
      </w:r>
      <w:r w:rsidR="005347BD">
        <w:rPr>
          <w:rFonts w:hint="cs"/>
          <w:rtl/>
        </w:rPr>
        <w:t>"</w:t>
      </w:r>
      <w:r w:rsidR="00C57B47">
        <w:rPr>
          <w:rFonts w:hint="cs"/>
          <w:rtl/>
        </w:rPr>
        <w:t>א</w:t>
      </w:r>
      <w:r w:rsidR="005347BD" w:rsidRPr="00395277">
        <w:rPr>
          <w:rFonts w:hint="cs"/>
          <w:rtl/>
        </w:rPr>
        <w:t xml:space="preserve"> (</w:t>
      </w:r>
      <w:r w:rsidR="005347BD">
        <w:rPr>
          <w:rFonts w:hint="cs"/>
          <w:rtl/>
        </w:rPr>
        <w:t>__ ב</w:t>
      </w:r>
      <w:r w:rsidR="00C57B47">
        <w:rPr>
          <w:rFonts w:hint="cs"/>
          <w:rtl/>
        </w:rPr>
        <w:t>אוקטובר</w:t>
      </w:r>
      <w:r w:rsidR="005347BD">
        <w:rPr>
          <w:rFonts w:hint="cs"/>
          <w:rtl/>
        </w:rPr>
        <w:t xml:space="preserve"> 2020</w:t>
      </w:r>
      <w:r w:rsidR="005347BD" w:rsidRPr="00395277">
        <w:rPr>
          <w:rFonts w:hint="cs"/>
          <w:rtl/>
        </w:rPr>
        <w:t>)</w:t>
      </w:r>
    </w:p>
    <w:p w:rsidR="00395277" w:rsidRPr="00395277" w:rsidRDefault="00395277" w:rsidP="00395277">
      <w:pPr>
        <w:spacing w:before="100" w:beforeAutospacing="1" w:after="100" w:afterAutospacing="1"/>
      </w:pPr>
    </w:p>
    <w:p w:rsidR="00395277" w:rsidRPr="001F62E4" w:rsidRDefault="00395277" w:rsidP="00580178">
      <w:pPr>
        <w:spacing w:before="100" w:beforeAutospacing="1" w:after="100" w:afterAutospacing="1" w:line="360" w:lineRule="auto"/>
        <w:rPr>
          <w:rFonts w:asciiTheme="minorHAnsi" w:hAnsiTheme="minorHAnsi"/>
        </w:rPr>
      </w:pPr>
      <w:r w:rsidRPr="00395277">
        <w:rPr>
          <w:rFonts w:hint="cs"/>
          <w:rtl/>
        </w:rPr>
        <w:t xml:space="preserve">בין </w:t>
      </w:r>
    </w:p>
    <w:p w:rsidR="00395277" w:rsidRPr="00580178" w:rsidRDefault="00395277" w:rsidP="00A739FC">
      <w:pPr>
        <w:spacing w:before="100" w:beforeAutospacing="1" w:after="100" w:afterAutospacing="1" w:line="360" w:lineRule="auto"/>
        <w:jc w:val="both"/>
      </w:pPr>
      <w:r w:rsidRPr="00395277">
        <w:rPr>
          <w:rFonts w:hint="cs"/>
          <w:rtl/>
        </w:rPr>
        <w:t>ממשלת ישראל בשם מדינת ישראל (להלן</w:t>
      </w:r>
      <w:r w:rsidR="005347BD">
        <w:rPr>
          <w:rFonts w:hint="cs"/>
          <w:rtl/>
        </w:rPr>
        <w:t xml:space="preserve"> </w:t>
      </w:r>
      <w:r w:rsidRPr="00395277">
        <w:rPr>
          <w:rFonts w:hint="cs"/>
          <w:rtl/>
        </w:rPr>
        <w:t>-</w:t>
      </w:r>
      <w:r w:rsidR="005347BD">
        <w:rPr>
          <w:rFonts w:hint="cs"/>
          <w:rtl/>
        </w:rPr>
        <w:t xml:space="preserve"> </w:t>
      </w:r>
      <w:r w:rsidRPr="00580178">
        <w:rPr>
          <w:rFonts w:hint="eastAsia"/>
          <w:b/>
          <w:bCs/>
          <w:rtl/>
        </w:rPr>
        <w:t>הממשלה</w:t>
      </w:r>
      <w:r w:rsidRPr="00580178">
        <w:rPr>
          <w:rFonts w:hint="cs"/>
          <w:rtl/>
        </w:rPr>
        <w:t xml:space="preserve">), המיוצגת על ידי </w:t>
      </w:r>
      <w:r w:rsidR="00221121">
        <w:rPr>
          <w:rFonts w:hint="cs"/>
          <w:rtl/>
        </w:rPr>
        <w:t xml:space="preserve">גב' מירב קדם, סגנית בכירה לחשב הכללי, </w:t>
      </w:r>
      <w:r w:rsidR="00A739FC">
        <w:rPr>
          <w:rFonts w:hint="cs"/>
          <w:rtl/>
        </w:rPr>
        <w:t>ו</w:t>
      </w:r>
      <w:r w:rsidR="00221121">
        <w:rPr>
          <w:rFonts w:hint="cs"/>
          <w:rtl/>
        </w:rPr>
        <w:t xml:space="preserve">מר אלי ביתן, סגן בכיר לחשב </w:t>
      </w:r>
      <w:r w:rsidR="00221121" w:rsidRPr="00C84B3E">
        <w:rPr>
          <w:rFonts w:hint="cs"/>
          <w:rtl/>
        </w:rPr>
        <w:t xml:space="preserve">הכללי </w:t>
      </w:r>
      <w:r w:rsidRPr="00580178">
        <w:rPr>
          <w:rFonts w:hint="cs"/>
          <w:rtl/>
        </w:rPr>
        <w:t>מטעם משרד האוצר;</w:t>
      </w:r>
    </w:p>
    <w:p w:rsidR="00395277" w:rsidRPr="00580178" w:rsidRDefault="00395277" w:rsidP="00580178">
      <w:pPr>
        <w:spacing w:before="100" w:beforeAutospacing="1" w:after="100" w:afterAutospacing="1" w:line="360" w:lineRule="auto"/>
        <w:ind w:left="6480" w:firstLine="720"/>
        <w:jc w:val="both"/>
        <w:rPr>
          <w:rtl/>
        </w:rPr>
      </w:pPr>
      <w:r w:rsidRPr="00580178">
        <w:rPr>
          <w:rFonts w:hint="cs"/>
          <w:rtl/>
        </w:rPr>
        <w:t>מצד אחד</w:t>
      </w:r>
    </w:p>
    <w:p w:rsidR="00395277" w:rsidRPr="00580178" w:rsidRDefault="00395277" w:rsidP="00580178">
      <w:pPr>
        <w:spacing w:before="100" w:beforeAutospacing="1" w:after="100" w:afterAutospacing="1" w:line="360" w:lineRule="auto"/>
        <w:jc w:val="both"/>
      </w:pPr>
      <w:r w:rsidRPr="00580178">
        <w:rPr>
          <w:rFonts w:hint="cs"/>
          <w:rtl/>
        </w:rPr>
        <w:t xml:space="preserve">לבין - </w:t>
      </w:r>
    </w:p>
    <w:p w:rsidR="00395277" w:rsidRPr="00580178" w:rsidRDefault="00395277" w:rsidP="00A739FC">
      <w:pPr>
        <w:spacing w:before="100" w:beforeAutospacing="1" w:after="100" w:afterAutospacing="1" w:line="360" w:lineRule="auto"/>
        <w:jc w:val="both"/>
      </w:pPr>
      <w:r w:rsidRPr="00580178">
        <w:rPr>
          <w:rFonts w:hint="cs"/>
          <w:rtl/>
        </w:rPr>
        <w:t>המוסד לביטוח לאומי (להלן</w:t>
      </w:r>
      <w:r w:rsidR="005347BD" w:rsidRPr="00580178">
        <w:rPr>
          <w:rFonts w:hint="cs"/>
          <w:rtl/>
        </w:rPr>
        <w:t xml:space="preserve"> </w:t>
      </w:r>
      <w:r w:rsidRPr="00580178">
        <w:rPr>
          <w:rFonts w:hint="cs"/>
          <w:rtl/>
        </w:rPr>
        <w:t>-</w:t>
      </w:r>
      <w:r w:rsidR="005347BD" w:rsidRPr="00580178">
        <w:rPr>
          <w:rFonts w:hint="cs"/>
          <w:rtl/>
        </w:rPr>
        <w:t xml:space="preserve"> </w:t>
      </w:r>
      <w:r w:rsidRPr="00580178">
        <w:rPr>
          <w:rFonts w:hint="eastAsia"/>
          <w:b/>
          <w:bCs/>
          <w:rtl/>
        </w:rPr>
        <w:t>המוסד</w:t>
      </w:r>
      <w:r w:rsidRPr="00580178">
        <w:rPr>
          <w:rFonts w:hint="cs"/>
          <w:rtl/>
        </w:rPr>
        <w:t xml:space="preserve">), המיוצג על ידי </w:t>
      </w:r>
      <w:r w:rsidR="00F25722" w:rsidRPr="00580178">
        <w:rPr>
          <w:rFonts w:hint="cs"/>
          <w:rtl/>
        </w:rPr>
        <w:t>מר מאיר שפיגלר</w:t>
      </w:r>
      <w:r w:rsidRPr="00580178">
        <w:rPr>
          <w:rFonts w:hint="cs"/>
          <w:rtl/>
        </w:rPr>
        <w:t xml:space="preserve">, המנהל הכללי של המוסד, </w:t>
      </w:r>
      <w:r w:rsidR="00A739FC">
        <w:rPr>
          <w:rFonts w:hint="cs"/>
          <w:rtl/>
        </w:rPr>
        <w:t>ה</w:t>
      </w:r>
      <w:r w:rsidR="00C81541" w:rsidRPr="00C535B4">
        <w:rPr>
          <w:rFonts w:hint="cs"/>
          <w:rtl/>
        </w:rPr>
        <w:t xml:space="preserve">גברת ארנה ורקוביצקי, סגנית המנהל הכללי וראש מינהל גמלאות </w:t>
      </w:r>
      <w:r w:rsidRPr="00C535B4">
        <w:rPr>
          <w:rFonts w:hint="eastAsia"/>
          <w:rtl/>
        </w:rPr>
        <w:t>ו</w:t>
      </w:r>
      <w:r w:rsidR="00A739FC">
        <w:rPr>
          <w:rFonts w:hint="cs"/>
          <w:rtl/>
        </w:rPr>
        <w:t>ה</w:t>
      </w:r>
      <w:r w:rsidRPr="00C535B4">
        <w:rPr>
          <w:rFonts w:hint="eastAsia"/>
          <w:rtl/>
        </w:rPr>
        <w:t>גברת</w:t>
      </w:r>
      <w:r w:rsidRPr="00C535B4">
        <w:rPr>
          <w:rFonts w:hint="cs"/>
          <w:rtl/>
        </w:rPr>
        <w:t xml:space="preserve"> חגית</w:t>
      </w:r>
      <w:r w:rsidRPr="00580178">
        <w:rPr>
          <w:rFonts w:hint="cs"/>
          <w:rtl/>
        </w:rPr>
        <w:t xml:space="preserve"> גולדשטיין מויאל, חשבת המוסד;</w:t>
      </w:r>
    </w:p>
    <w:p w:rsidR="00395277" w:rsidRPr="00580178" w:rsidRDefault="00395277" w:rsidP="00580178">
      <w:pPr>
        <w:spacing w:before="100" w:beforeAutospacing="1" w:after="100" w:afterAutospacing="1" w:line="360" w:lineRule="auto"/>
        <w:ind w:left="6480" w:firstLine="720"/>
        <w:jc w:val="both"/>
      </w:pPr>
      <w:r w:rsidRPr="00580178">
        <w:rPr>
          <w:rFonts w:hint="cs"/>
          <w:rtl/>
        </w:rPr>
        <w:t>מצד שני</w:t>
      </w:r>
    </w:p>
    <w:p w:rsidR="009D469E" w:rsidRPr="00580178" w:rsidRDefault="009D469E" w:rsidP="002C7564">
      <w:pPr>
        <w:spacing w:before="100" w:beforeAutospacing="1" w:after="100" w:afterAutospacing="1" w:line="360" w:lineRule="auto"/>
        <w:jc w:val="both"/>
        <w:rPr>
          <w:rtl/>
        </w:rPr>
      </w:pPr>
      <w:r w:rsidRPr="00580178">
        <w:rPr>
          <w:rFonts w:hint="cs"/>
          <w:b/>
          <w:bCs/>
          <w:rtl/>
        </w:rPr>
        <w:t xml:space="preserve">הואיל </w:t>
      </w:r>
      <w:r w:rsidRPr="00580178">
        <w:rPr>
          <w:rFonts w:hint="eastAsia"/>
          <w:rtl/>
        </w:rPr>
        <w:t>ו</w:t>
      </w:r>
      <w:r w:rsidRPr="00580178">
        <w:rPr>
          <w:rtl/>
        </w:rPr>
        <w:t>מדינות העולם וישראל בתוכן נמצאות כעת בעיצומה של פנדמיה, מגי</w:t>
      </w:r>
      <w:r w:rsidRPr="00580178">
        <w:rPr>
          <w:rFonts w:hint="cs"/>
          <w:rtl/>
        </w:rPr>
        <w:t>פ</w:t>
      </w:r>
      <w:r w:rsidRPr="00580178">
        <w:rPr>
          <w:rtl/>
        </w:rPr>
        <w:t xml:space="preserve">ה כלל-עולמית כתוצאה מהתפרצות והתפשטות נגיף </w:t>
      </w:r>
      <w:r w:rsidR="00231C69">
        <w:rPr>
          <w:rFonts w:asciiTheme="minorHAnsi" w:hAnsiTheme="minorHAnsi" w:hint="cs"/>
          <w:rtl/>
        </w:rPr>
        <w:t xml:space="preserve">קורונה </w:t>
      </w:r>
      <w:r w:rsidR="002C7564">
        <w:rPr>
          <w:rFonts w:asciiTheme="minorHAnsi" w:hAnsiTheme="minorHAnsi"/>
        </w:rPr>
        <w:t>(</w:t>
      </w:r>
      <w:r w:rsidR="00231C69">
        <w:rPr>
          <w:rFonts w:asciiTheme="minorHAnsi" w:hAnsiTheme="minorHAnsi" w:hint="cs"/>
        </w:rPr>
        <w:t>N</w:t>
      </w:r>
      <w:r w:rsidR="00231C69">
        <w:rPr>
          <w:rFonts w:asciiTheme="minorHAnsi" w:hAnsiTheme="minorHAnsi"/>
        </w:rPr>
        <w:t xml:space="preserve">ovel Coronavirus 2019 </w:t>
      </w:r>
      <w:r w:rsidR="002C7564">
        <w:rPr>
          <w:rFonts w:asciiTheme="minorHAnsi" w:hAnsiTheme="minorHAnsi"/>
        </w:rPr>
        <w:t>–</w:t>
      </w:r>
      <w:r w:rsidR="00231C69">
        <w:rPr>
          <w:rFonts w:asciiTheme="minorHAnsi" w:hAnsiTheme="minorHAnsi"/>
        </w:rPr>
        <w:t xml:space="preserve"> nC</w:t>
      </w:r>
      <w:r w:rsidR="002C7564">
        <w:rPr>
          <w:rFonts w:asciiTheme="minorHAnsi" w:hAnsiTheme="minorHAnsi"/>
        </w:rPr>
        <w:t>oV)</w:t>
      </w:r>
      <w:r w:rsidRPr="00580178">
        <w:rPr>
          <w:rtl/>
        </w:rPr>
        <w:t xml:space="preserve"> ( להלן </w:t>
      </w:r>
      <w:r w:rsidRPr="00580178">
        <w:rPr>
          <w:rFonts w:hint="cs"/>
          <w:rtl/>
        </w:rPr>
        <w:t xml:space="preserve">- </w:t>
      </w:r>
      <w:r w:rsidRPr="00580178">
        <w:rPr>
          <w:b/>
          <w:bCs/>
          <w:rtl/>
        </w:rPr>
        <w:t>נגיף הקורונה</w:t>
      </w:r>
      <w:r w:rsidRPr="00580178">
        <w:rPr>
          <w:rtl/>
        </w:rPr>
        <w:t>). ביום ט"ו באדר התש"ף (11 במרס 2020) הכריז ארגון הבריאות העולמי על המחלה הנגרמת מנגיף הקורונה כעל מגפה עולמית, צעד חריג בעל משמעויות מרחיקות לכת</w:t>
      </w:r>
      <w:r w:rsidRPr="00580178">
        <w:rPr>
          <w:rFonts w:hint="cs"/>
          <w:rtl/>
        </w:rPr>
        <w:t xml:space="preserve">; </w:t>
      </w:r>
    </w:p>
    <w:p w:rsidR="009D469E" w:rsidRPr="00580178" w:rsidRDefault="009D469E" w:rsidP="00AE54F7">
      <w:pPr>
        <w:spacing w:before="100" w:beforeAutospacing="1" w:after="100" w:afterAutospacing="1" w:line="360" w:lineRule="auto"/>
        <w:jc w:val="both"/>
        <w:rPr>
          <w:rtl/>
        </w:rPr>
      </w:pPr>
      <w:r w:rsidRPr="00580178">
        <w:rPr>
          <w:rFonts w:hint="eastAsia"/>
          <w:b/>
          <w:bCs/>
          <w:rtl/>
        </w:rPr>
        <w:t>הואיל</w:t>
      </w:r>
      <w:r w:rsidRPr="00580178">
        <w:rPr>
          <w:rFonts w:hint="cs"/>
          <w:rtl/>
        </w:rPr>
        <w:t xml:space="preserve"> ו</w:t>
      </w:r>
      <w:r w:rsidRPr="00580178">
        <w:rPr>
          <w:rtl/>
        </w:rPr>
        <w:t>ביום א' בשבט התש"ף (27 בינואר 2020) הכריז שר הבריאות בהתאם לסמכותו לפי סעיף 20(1) לפקודת בריאות העם, 1940 כי המחלה הנגרמת על ידי נגיף הקורונה היא מחלה מידבקת מסוכנת וכי קיימת בעטייה סכנה חמורה לבריאות הציבור</w:t>
      </w:r>
      <w:r w:rsidRPr="00580178">
        <w:rPr>
          <w:rFonts w:hint="cs"/>
          <w:rtl/>
        </w:rPr>
        <w:t xml:space="preserve">; </w:t>
      </w:r>
    </w:p>
    <w:p w:rsidR="00395277" w:rsidRPr="00580178" w:rsidRDefault="00395277" w:rsidP="00EE6A88">
      <w:pPr>
        <w:spacing w:before="100" w:beforeAutospacing="1" w:after="100" w:afterAutospacing="1" w:line="360" w:lineRule="auto"/>
        <w:jc w:val="both"/>
        <w:rPr>
          <w:rtl/>
        </w:rPr>
      </w:pPr>
      <w:r w:rsidRPr="0086221E">
        <w:rPr>
          <w:rFonts w:hint="cs"/>
          <w:b/>
          <w:bCs/>
          <w:rtl/>
        </w:rPr>
        <w:t>הואיל</w:t>
      </w:r>
      <w:r w:rsidRPr="0086221E">
        <w:rPr>
          <w:rFonts w:hint="cs"/>
          <w:rtl/>
        </w:rPr>
        <w:t xml:space="preserve"> והממשלה והמוסד </w:t>
      </w:r>
      <w:r w:rsidR="008244F4" w:rsidRPr="0086221E">
        <w:rPr>
          <w:rFonts w:hint="cs"/>
          <w:rtl/>
        </w:rPr>
        <w:t xml:space="preserve">מבקשים </w:t>
      </w:r>
      <w:r w:rsidR="00F25722" w:rsidRPr="0086221E">
        <w:rPr>
          <w:rFonts w:hint="cs"/>
          <w:rtl/>
        </w:rPr>
        <w:t>לסייע באופן חד פעמי</w:t>
      </w:r>
      <w:r w:rsidR="00DD4DCB" w:rsidRPr="0086221E">
        <w:rPr>
          <w:rFonts w:hint="cs"/>
          <w:rtl/>
        </w:rPr>
        <w:t xml:space="preserve"> למי </w:t>
      </w:r>
      <w:r w:rsidR="00AC0971" w:rsidRPr="0086221E">
        <w:rPr>
          <w:rFonts w:hint="cs"/>
          <w:rtl/>
        </w:rPr>
        <w:t xml:space="preserve">שהיה </w:t>
      </w:r>
      <w:r w:rsidR="00AC0971" w:rsidRPr="00B051B3">
        <w:rPr>
          <w:rFonts w:hint="cs"/>
          <w:rtl/>
        </w:rPr>
        <w:t>מובטל במשך תקופה ממושכת בעקבות התפרצות נגיף הקורונה</w:t>
      </w:r>
      <w:r w:rsidR="00684230" w:rsidRPr="00B051B3">
        <w:rPr>
          <w:rFonts w:hint="cs"/>
          <w:rtl/>
        </w:rPr>
        <w:t>;</w:t>
      </w:r>
      <w:r w:rsidR="00AC0971" w:rsidRPr="00B051B3">
        <w:rPr>
          <w:rFonts w:hint="cs"/>
          <w:rtl/>
        </w:rPr>
        <w:t xml:space="preserve"> </w:t>
      </w:r>
    </w:p>
    <w:p w:rsidR="00395277" w:rsidRPr="00580178" w:rsidRDefault="00395277" w:rsidP="00684230">
      <w:pPr>
        <w:spacing w:before="100" w:beforeAutospacing="1" w:after="100" w:afterAutospacing="1" w:line="360" w:lineRule="auto"/>
        <w:jc w:val="both"/>
        <w:rPr>
          <w:rtl/>
        </w:rPr>
      </w:pPr>
      <w:r w:rsidRPr="00580178">
        <w:rPr>
          <w:rFonts w:hint="cs"/>
          <w:b/>
          <w:bCs/>
          <w:rtl/>
        </w:rPr>
        <w:t xml:space="preserve">והואיל </w:t>
      </w:r>
      <w:r w:rsidRPr="00580178">
        <w:rPr>
          <w:rFonts w:hint="cs"/>
          <w:rtl/>
        </w:rPr>
        <w:t xml:space="preserve">והמוסד מוכן לבצע את </w:t>
      </w:r>
      <w:r w:rsidR="00684230">
        <w:rPr>
          <w:rFonts w:hint="cs"/>
          <w:rtl/>
        </w:rPr>
        <w:t>מתן ההטבה</w:t>
      </w:r>
      <w:r w:rsidRPr="00580178">
        <w:rPr>
          <w:rFonts w:hint="cs"/>
          <w:rtl/>
        </w:rPr>
        <w:t xml:space="preserve"> לפי הסכם זה, לאחר שנתמלאו התנאים האמורים בסעיף 9 לחוק הביטוח הלאומי.</w:t>
      </w:r>
    </w:p>
    <w:p w:rsidR="00395277" w:rsidRPr="00580178" w:rsidRDefault="00395277" w:rsidP="00580178">
      <w:pPr>
        <w:spacing w:before="100" w:beforeAutospacing="1" w:after="100" w:afterAutospacing="1" w:line="360" w:lineRule="auto"/>
        <w:jc w:val="both"/>
        <w:rPr>
          <w:rtl/>
        </w:rPr>
      </w:pPr>
      <w:r w:rsidRPr="00580178">
        <w:rPr>
          <w:rFonts w:hint="eastAsia"/>
          <w:rtl/>
        </w:rPr>
        <w:t>לפיכך</w:t>
      </w:r>
      <w:r w:rsidRPr="00580178">
        <w:rPr>
          <w:rtl/>
        </w:rPr>
        <w:t xml:space="preserve"> </w:t>
      </w:r>
      <w:r w:rsidRPr="00580178">
        <w:rPr>
          <w:rFonts w:hint="eastAsia"/>
          <w:rtl/>
        </w:rPr>
        <w:t>הוסכם</w:t>
      </w:r>
      <w:r w:rsidRPr="00580178">
        <w:rPr>
          <w:rtl/>
        </w:rPr>
        <w:t xml:space="preserve"> </w:t>
      </w:r>
      <w:r w:rsidRPr="00580178">
        <w:rPr>
          <w:rFonts w:hint="eastAsia"/>
          <w:rtl/>
        </w:rPr>
        <w:t>והותנה</w:t>
      </w:r>
      <w:r w:rsidRPr="00580178">
        <w:rPr>
          <w:rtl/>
        </w:rPr>
        <w:t xml:space="preserve"> </w:t>
      </w:r>
      <w:r w:rsidRPr="00580178">
        <w:rPr>
          <w:rFonts w:hint="eastAsia"/>
          <w:rtl/>
        </w:rPr>
        <w:t>בין</w:t>
      </w:r>
      <w:r w:rsidRPr="00580178">
        <w:rPr>
          <w:rtl/>
        </w:rPr>
        <w:t xml:space="preserve"> </w:t>
      </w:r>
      <w:r w:rsidRPr="00580178">
        <w:rPr>
          <w:rFonts w:hint="eastAsia"/>
          <w:rtl/>
        </w:rPr>
        <w:t>הצדדים</w:t>
      </w:r>
      <w:r w:rsidRPr="00580178">
        <w:rPr>
          <w:rtl/>
        </w:rPr>
        <w:t xml:space="preserve"> </w:t>
      </w:r>
      <w:r w:rsidRPr="00580178">
        <w:rPr>
          <w:rFonts w:hint="eastAsia"/>
          <w:rtl/>
        </w:rPr>
        <w:t>כדלקמן</w:t>
      </w:r>
      <w:r w:rsidRPr="00580178">
        <w:rPr>
          <w:rtl/>
        </w:rPr>
        <w:t>:</w:t>
      </w:r>
    </w:p>
    <w:p w:rsidR="005B0F42" w:rsidRPr="00580178" w:rsidRDefault="005B0F42" w:rsidP="00580178">
      <w:pPr>
        <w:pStyle w:val="aa"/>
        <w:numPr>
          <w:ilvl w:val="0"/>
          <w:numId w:val="8"/>
        </w:numPr>
        <w:spacing w:before="100" w:beforeAutospacing="1" w:line="360" w:lineRule="auto"/>
        <w:jc w:val="both"/>
        <w:rPr>
          <w:b/>
          <w:bCs/>
        </w:rPr>
      </w:pPr>
      <w:r w:rsidRPr="00580178">
        <w:rPr>
          <w:rFonts w:hint="eastAsia"/>
          <w:b/>
          <w:bCs/>
          <w:rtl/>
        </w:rPr>
        <w:t>המבוא</w:t>
      </w:r>
    </w:p>
    <w:p w:rsidR="00395277" w:rsidRPr="00580178" w:rsidRDefault="00395277" w:rsidP="00580178">
      <w:pPr>
        <w:spacing w:before="100" w:beforeAutospacing="1" w:line="360" w:lineRule="auto"/>
        <w:jc w:val="both"/>
      </w:pPr>
      <w:r w:rsidRPr="00580178">
        <w:rPr>
          <w:rFonts w:hint="cs"/>
          <w:rtl/>
        </w:rPr>
        <w:t xml:space="preserve">המבוא להסכם זה מהווה חלק בלתי נפרד ממנו. </w:t>
      </w:r>
    </w:p>
    <w:p w:rsidR="00945DD1" w:rsidRPr="00580178" w:rsidRDefault="00945DD1" w:rsidP="00580178">
      <w:pPr>
        <w:pStyle w:val="aa"/>
        <w:spacing w:before="100" w:beforeAutospacing="1" w:line="360" w:lineRule="auto"/>
        <w:ind w:left="360"/>
        <w:jc w:val="both"/>
      </w:pPr>
    </w:p>
    <w:p w:rsidR="00B9547B" w:rsidRPr="00580178" w:rsidRDefault="00B9547B" w:rsidP="00580178">
      <w:pPr>
        <w:pStyle w:val="aa"/>
        <w:numPr>
          <w:ilvl w:val="0"/>
          <w:numId w:val="8"/>
        </w:numPr>
        <w:spacing w:before="100" w:beforeAutospacing="1" w:line="360" w:lineRule="auto"/>
        <w:jc w:val="both"/>
        <w:rPr>
          <w:b/>
          <w:bCs/>
        </w:rPr>
      </w:pPr>
      <w:r w:rsidRPr="00580178">
        <w:rPr>
          <w:rFonts w:hint="eastAsia"/>
          <w:b/>
          <w:bCs/>
          <w:rtl/>
        </w:rPr>
        <w:t>הגדרות</w:t>
      </w:r>
      <w:r w:rsidRPr="00580178">
        <w:rPr>
          <w:b/>
          <w:bCs/>
          <w:rtl/>
        </w:rPr>
        <w:t xml:space="preserve"> </w:t>
      </w:r>
    </w:p>
    <w:p w:rsidR="00DD4DCB" w:rsidRPr="00B051B3" w:rsidRDefault="00395277" w:rsidP="00DD4DCB">
      <w:pPr>
        <w:spacing w:before="100" w:beforeAutospacing="1" w:line="360" w:lineRule="auto"/>
        <w:jc w:val="both"/>
        <w:rPr>
          <w:rtl/>
        </w:rPr>
      </w:pPr>
      <w:r w:rsidRPr="00B051B3">
        <w:rPr>
          <w:rFonts w:hint="cs"/>
          <w:rtl/>
        </w:rPr>
        <w:t>בהסכם זה-</w:t>
      </w:r>
    </w:p>
    <w:p w:rsidR="00E926E2" w:rsidRPr="00F769B1" w:rsidRDefault="00E926E2" w:rsidP="00725C09">
      <w:pPr>
        <w:spacing w:line="360" w:lineRule="auto"/>
        <w:jc w:val="both"/>
        <w:rPr>
          <w:rtl/>
        </w:rPr>
      </w:pPr>
      <w:r w:rsidRPr="00F769B1">
        <w:rPr>
          <w:rtl/>
        </w:rPr>
        <w:t xml:space="preserve">"בני </w:t>
      </w:r>
      <w:r w:rsidRPr="00F769B1">
        <w:rPr>
          <w:rFonts w:hint="eastAsia"/>
          <w:rtl/>
        </w:rPr>
        <w:t>זוג</w:t>
      </w:r>
      <w:r w:rsidRPr="00F769B1">
        <w:rPr>
          <w:rtl/>
        </w:rPr>
        <w:t xml:space="preserve">"- </w:t>
      </w:r>
      <w:r w:rsidRPr="00F769B1">
        <w:rPr>
          <w:rFonts w:hint="eastAsia"/>
          <w:rtl/>
        </w:rPr>
        <w:t>כ</w:t>
      </w:r>
      <w:r w:rsidR="00725C09" w:rsidRPr="00F769B1">
        <w:rPr>
          <w:rFonts w:hint="cs"/>
          <w:rtl/>
        </w:rPr>
        <w:t>הגדרתם</w:t>
      </w:r>
      <w:r w:rsidRPr="00F769B1">
        <w:rPr>
          <w:rtl/>
        </w:rPr>
        <w:t xml:space="preserve"> </w:t>
      </w:r>
      <w:r w:rsidRPr="00F769B1">
        <w:rPr>
          <w:rFonts w:hint="eastAsia"/>
          <w:rtl/>
        </w:rPr>
        <w:t>בחוק</w:t>
      </w:r>
      <w:r w:rsidRPr="00F769B1">
        <w:rPr>
          <w:rtl/>
        </w:rPr>
        <w:t xml:space="preserve"> </w:t>
      </w:r>
      <w:r w:rsidR="00725C09" w:rsidRPr="00F769B1">
        <w:rPr>
          <w:rFonts w:hint="cs"/>
          <w:rtl/>
        </w:rPr>
        <w:t>הבטחת הכנסה</w:t>
      </w:r>
      <w:r w:rsidRPr="00F769B1">
        <w:rPr>
          <w:rtl/>
        </w:rPr>
        <w:t>;</w:t>
      </w:r>
    </w:p>
    <w:p w:rsidR="005C4400" w:rsidRPr="00F769B1" w:rsidRDefault="005C4400" w:rsidP="00E926E2">
      <w:pPr>
        <w:spacing w:line="360" w:lineRule="auto"/>
        <w:ind w:left="3" w:firstLine="1"/>
        <w:jc w:val="both"/>
        <w:rPr>
          <w:rtl/>
        </w:rPr>
      </w:pPr>
      <w:r w:rsidRPr="00F769B1">
        <w:rPr>
          <w:rFonts w:hint="cs"/>
          <w:rtl/>
        </w:rPr>
        <w:t xml:space="preserve">"דמי אבטלה" </w:t>
      </w:r>
      <w:r w:rsidRPr="00F769B1">
        <w:rPr>
          <w:rtl/>
        </w:rPr>
        <w:t>–</w:t>
      </w:r>
      <w:r w:rsidRPr="00F769B1">
        <w:rPr>
          <w:rFonts w:hint="cs"/>
          <w:rtl/>
        </w:rPr>
        <w:t xml:space="preserve"> כהגדרתם בסעיף 158 לחוק;</w:t>
      </w:r>
    </w:p>
    <w:p w:rsidR="00725C09" w:rsidRPr="00F769B1" w:rsidRDefault="00725C09" w:rsidP="00E926E2">
      <w:pPr>
        <w:spacing w:line="360" w:lineRule="auto"/>
        <w:ind w:left="3" w:firstLine="1"/>
        <w:jc w:val="both"/>
        <w:rPr>
          <w:rtl/>
        </w:rPr>
      </w:pPr>
      <w:r w:rsidRPr="00F769B1">
        <w:rPr>
          <w:rFonts w:hint="cs"/>
          <w:rtl/>
        </w:rPr>
        <w:t xml:space="preserve">"חוק הבטחת הכנסה" - </w:t>
      </w:r>
      <w:r w:rsidRPr="00F769B1">
        <w:rPr>
          <w:rtl/>
        </w:rPr>
        <w:t xml:space="preserve">חוק הבטחת הכנסה, </w:t>
      </w:r>
      <w:r w:rsidR="00A739FC">
        <w:rPr>
          <w:rFonts w:hint="cs"/>
          <w:rtl/>
        </w:rPr>
        <w:t>ה</w:t>
      </w:r>
      <w:r w:rsidRPr="00F769B1">
        <w:rPr>
          <w:rtl/>
        </w:rPr>
        <w:t>תשמ"א-1980</w:t>
      </w:r>
      <w:r w:rsidRPr="00F769B1">
        <w:rPr>
          <w:rFonts w:hint="cs"/>
          <w:rtl/>
        </w:rPr>
        <w:t>;</w:t>
      </w:r>
    </w:p>
    <w:p w:rsidR="00B051B3" w:rsidRPr="00F769B1" w:rsidRDefault="001926F8" w:rsidP="00A739FC">
      <w:pPr>
        <w:spacing w:line="360" w:lineRule="auto"/>
        <w:ind w:left="3" w:firstLine="1"/>
        <w:jc w:val="both"/>
        <w:rPr>
          <w:rtl/>
        </w:rPr>
      </w:pPr>
      <w:r w:rsidRPr="00F769B1">
        <w:rPr>
          <w:rFonts w:hint="cs"/>
          <w:rtl/>
        </w:rPr>
        <w:t>"החוק"</w:t>
      </w:r>
      <w:r w:rsidR="00B051B3" w:rsidRPr="00F769B1">
        <w:rPr>
          <w:rFonts w:hint="cs"/>
          <w:rtl/>
        </w:rPr>
        <w:t xml:space="preserve"> </w:t>
      </w:r>
      <w:r w:rsidR="00B051B3" w:rsidRPr="00F769B1">
        <w:rPr>
          <w:rtl/>
        </w:rPr>
        <w:t>–</w:t>
      </w:r>
      <w:r w:rsidR="00B051B3" w:rsidRPr="00F769B1">
        <w:rPr>
          <w:rFonts w:hint="cs"/>
          <w:rtl/>
        </w:rPr>
        <w:t xml:space="preserve"> חוק הביטוח הלאומי [נוסח משולב], התשנ"ה-1995;</w:t>
      </w:r>
    </w:p>
    <w:p w:rsidR="00DD4DCB" w:rsidRPr="00F769B1" w:rsidRDefault="00186B1C" w:rsidP="00186B1C">
      <w:pPr>
        <w:spacing w:line="360" w:lineRule="auto"/>
        <w:jc w:val="both"/>
        <w:rPr>
          <w:rtl/>
        </w:rPr>
      </w:pPr>
      <w:r w:rsidRPr="00F769B1">
        <w:rPr>
          <w:rFonts w:hint="cs"/>
          <w:rtl/>
        </w:rPr>
        <w:t xml:space="preserve">"מבוטח" </w:t>
      </w:r>
      <w:r w:rsidR="00DB4750" w:rsidRPr="00F769B1">
        <w:rPr>
          <w:rtl/>
        </w:rPr>
        <w:t>–</w:t>
      </w:r>
      <w:r w:rsidRPr="00F769B1">
        <w:rPr>
          <w:rFonts w:hint="cs"/>
          <w:rtl/>
        </w:rPr>
        <w:t xml:space="preserve"> </w:t>
      </w:r>
      <w:r w:rsidR="00DB4750" w:rsidRPr="00F769B1">
        <w:rPr>
          <w:rFonts w:hint="cs"/>
          <w:rtl/>
        </w:rPr>
        <w:t>כהגדרת</w:t>
      </w:r>
      <w:r w:rsidRPr="00F769B1">
        <w:rPr>
          <w:rFonts w:hint="cs"/>
          <w:rtl/>
        </w:rPr>
        <w:t>ו</w:t>
      </w:r>
      <w:r w:rsidR="00DB4750" w:rsidRPr="00F769B1">
        <w:rPr>
          <w:rFonts w:hint="cs"/>
          <w:rtl/>
        </w:rPr>
        <w:t xml:space="preserve"> בסעיף 158 לחוק;</w:t>
      </w:r>
    </w:p>
    <w:p w:rsidR="00186B1C" w:rsidRPr="00A0560C" w:rsidRDefault="00604DB5" w:rsidP="00604DB5">
      <w:pPr>
        <w:spacing w:line="360" w:lineRule="auto"/>
        <w:jc w:val="both"/>
        <w:rPr>
          <w:rtl/>
        </w:rPr>
      </w:pPr>
      <w:r>
        <w:rPr>
          <w:rFonts w:hint="cs"/>
          <w:rtl/>
        </w:rPr>
        <w:t xml:space="preserve">"השכר היומי הממוצע במשק" </w:t>
      </w:r>
      <w:r>
        <w:rPr>
          <w:rtl/>
        </w:rPr>
        <w:t>–</w:t>
      </w:r>
      <w:r>
        <w:rPr>
          <w:rFonts w:hint="cs"/>
          <w:rtl/>
        </w:rPr>
        <w:t xml:space="preserve"> כהגדרתו בסעיף 167 לחוק;  </w:t>
      </w:r>
    </w:p>
    <w:p w:rsidR="003110C1" w:rsidRDefault="00776E86" w:rsidP="0030687E">
      <w:pPr>
        <w:spacing w:line="360" w:lineRule="auto"/>
        <w:jc w:val="both"/>
        <w:rPr>
          <w:rtl/>
        </w:rPr>
      </w:pPr>
      <w:r w:rsidRPr="00361727">
        <w:rPr>
          <w:rFonts w:hint="cs"/>
          <w:rtl/>
        </w:rPr>
        <w:t xml:space="preserve">"השכר הקובע" </w:t>
      </w:r>
      <w:r w:rsidR="00B223AE" w:rsidRPr="00361727">
        <w:rPr>
          <w:rtl/>
        </w:rPr>
        <w:t>–</w:t>
      </w:r>
      <w:r w:rsidRPr="007D0F2C">
        <w:rPr>
          <w:rFonts w:hint="cs"/>
          <w:rtl/>
        </w:rPr>
        <w:t xml:space="preserve"> </w:t>
      </w:r>
      <w:r w:rsidR="00B223AE" w:rsidRPr="007D0F2C">
        <w:rPr>
          <w:rFonts w:hint="cs"/>
          <w:rtl/>
        </w:rPr>
        <w:t>השכר היומי הממוצע כמשמעותו בסעיף 170 לחוק</w:t>
      </w:r>
      <w:r w:rsidR="00C84B3E" w:rsidRPr="007D0F2C">
        <w:rPr>
          <w:rFonts w:hint="cs"/>
          <w:rtl/>
        </w:rPr>
        <w:t xml:space="preserve">, </w:t>
      </w:r>
      <w:r w:rsidR="00014425" w:rsidRPr="007D0F2C">
        <w:rPr>
          <w:rFonts w:hint="cs"/>
          <w:rtl/>
        </w:rPr>
        <w:t xml:space="preserve">שלפיו שולמו </w:t>
      </w:r>
      <w:r w:rsidR="0030687E">
        <w:rPr>
          <w:rFonts w:hint="cs"/>
          <w:rtl/>
        </w:rPr>
        <w:t xml:space="preserve">לאחרונה </w:t>
      </w:r>
      <w:r w:rsidR="00014425" w:rsidRPr="007D0F2C">
        <w:rPr>
          <w:rFonts w:hint="cs"/>
          <w:rtl/>
        </w:rPr>
        <w:t>דמי האבטלה לאותו מבוטח</w:t>
      </w:r>
      <w:r w:rsidR="00D422CF" w:rsidRPr="00D422CF">
        <w:rPr>
          <w:rFonts w:hint="cs"/>
          <w:rtl/>
        </w:rPr>
        <w:t>.</w:t>
      </w:r>
    </w:p>
    <w:p w:rsidR="00DB4750" w:rsidRPr="00DB4750" w:rsidRDefault="00DB4750" w:rsidP="00DB4750">
      <w:pPr>
        <w:pStyle w:val="aa"/>
        <w:spacing w:line="360" w:lineRule="auto"/>
        <w:ind w:left="364"/>
        <w:jc w:val="both"/>
        <w:rPr>
          <w:rFonts w:ascii="Times New Roman" w:hAnsi="Times New Roman"/>
          <w:highlight w:val="red"/>
        </w:rPr>
      </w:pPr>
    </w:p>
    <w:p w:rsidR="00B9547B" w:rsidRPr="00580178" w:rsidRDefault="00973A5D" w:rsidP="00A0560C">
      <w:pPr>
        <w:pStyle w:val="aa"/>
        <w:numPr>
          <w:ilvl w:val="0"/>
          <w:numId w:val="8"/>
        </w:numPr>
        <w:spacing w:before="100" w:beforeAutospacing="1" w:line="360" w:lineRule="auto"/>
        <w:jc w:val="both"/>
        <w:rPr>
          <w:b/>
          <w:bCs/>
        </w:rPr>
      </w:pPr>
      <w:r>
        <w:rPr>
          <w:rFonts w:hint="cs"/>
          <w:b/>
          <w:bCs/>
          <w:rtl/>
        </w:rPr>
        <w:t>זכאות ל</w:t>
      </w:r>
      <w:r w:rsidR="00186B1C">
        <w:rPr>
          <w:rFonts w:hint="cs"/>
          <w:b/>
          <w:bCs/>
          <w:rtl/>
        </w:rPr>
        <w:t xml:space="preserve">מענק </w:t>
      </w:r>
      <w:r>
        <w:rPr>
          <w:rFonts w:hint="cs"/>
          <w:b/>
          <w:bCs/>
          <w:rtl/>
        </w:rPr>
        <w:t>חד פעמי בעד תקופת אבטלה</w:t>
      </w:r>
      <w:r w:rsidR="00A0560C">
        <w:rPr>
          <w:rFonts w:hint="cs"/>
          <w:b/>
          <w:bCs/>
          <w:rtl/>
        </w:rPr>
        <w:t xml:space="preserve"> </w:t>
      </w:r>
      <w:r w:rsidR="00186B1C">
        <w:rPr>
          <w:rFonts w:hint="cs"/>
          <w:b/>
          <w:bCs/>
          <w:rtl/>
        </w:rPr>
        <w:t>ממושכת ב</w:t>
      </w:r>
      <w:r>
        <w:rPr>
          <w:rFonts w:hint="cs"/>
          <w:b/>
          <w:bCs/>
          <w:rtl/>
        </w:rPr>
        <w:t>של התפרצות נגיף הקורונה</w:t>
      </w:r>
    </w:p>
    <w:p w:rsidR="00186B1C" w:rsidRPr="00B707C3" w:rsidRDefault="00973A5D" w:rsidP="001F62E4">
      <w:pPr>
        <w:spacing w:before="100" w:beforeAutospacing="1" w:line="360" w:lineRule="auto"/>
        <w:jc w:val="both"/>
      </w:pPr>
      <w:r>
        <w:rPr>
          <w:rFonts w:hint="cs"/>
          <w:rtl/>
        </w:rPr>
        <w:t>מבוטח שמתקיימים לגביו כל התנאים המפורטים להלן יהיה זכאי למענק חד פעמי בסכום של 2</w:t>
      </w:r>
      <w:r w:rsidR="00AE54F7">
        <w:rPr>
          <w:rFonts w:hint="cs"/>
          <w:rtl/>
        </w:rPr>
        <w:t>,</w:t>
      </w:r>
      <w:r>
        <w:rPr>
          <w:rFonts w:hint="cs"/>
          <w:rtl/>
        </w:rPr>
        <w:t>000 שקלים חדשים</w:t>
      </w:r>
      <w:r w:rsidR="00E52DF7">
        <w:rPr>
          <w:rFonts w:hint="cs"/>
          <w:rtl/>
        </w:rPr>
        <w:t xml:space="preserve"> (להלן- המענק)</w:t>
      </w:r>
      <w:r>
        <w:rPr>
          <w:rFonts w:hint="cs"/>
          <w:rtl/>
        </w:rPr>
        <w:t>:</w:t>
      </w:r>
    </w:p>
    <w:p w:rsidR="006851E6" w:rsidRPr="00FD6020" w:rsidRDefault="005E47A3" w:rsidP="00AE54F7">
      <w:pPr>
        <w:pStyle w:val="aa"/>
        <w:numPr>
          <w:ilvl w:val="1"/>
          <w:numId w:val="12"/>
        </w:numPr>
        <w:spacing w:before="100" w:beforeAutospacing="1" w:line="360" w:lineRule="auto"/>
        <w:ind w:left="892" w:hanging="425"/>
        <w:jc w:val="both"/>
      </w:pPr>
      <w:r w:rsidRPr="00A94D1F">
        <w:rPr>
          <w:rFonts w:hint="cs"/>
          <w:rtl/>
        </w:rPr>
        <w:t>שולמו ל</w:t>
      </w:r>
      <w:r w:rsidR="00AF2FE0" w:rsidRPr="00A94D1F">
        <w:rPr>
          <w:rFonts w:hint="cs"/>
          <w:rtl/>
        </w:rPr>
        <w:t>מבוטח</w:t>
      </w:r>
      <w:r w:rsidRPr="00A94D1F">
        <w:rPr>
          <w:rFonts w:hint="cs"/>
          <w:rtl/>
        </w:rPr>
        <w:t xml:space="preserve"> דמי אבטלה בעד </w:t>
      </w:r>
      <w:r w:rsidR="00AF2FE0" w:rsidRPr="00A94D1F">
        <w:rPr>
          <w:rFonts w:hint="cs"/>
          <w:rtl/>
        </w:rPr>
        <w:t xml:space="preserve">תקופה של </w:t>
      </w:r>
      <w:r w:rsidR="00AF2FE0" w:rsidRPr="00FD6020">
        <w:rPr>
          <w:rFonts w:hint="cs"/>
          <w:rtl/>
        </w:rPr>
        <w:t xml:space="preserve">לפחות 100 ימי אבטלה, </w:t>
      </w:r>
      <w:r w:rsidR="00973A5D" w:rsidRPr="00FD6020">
        <w:rPr>
          <w:rFonts w:hint="cs"/>
          <w:rtl/>
        </w:rPr>
        <w:t xml:space="preserve">בין אם רצופים ובין אם לאו, </w:t>
      </w:r>
      <w:r w:rsidRPr="00FD6020">
        <w:rPr>
          <w:rFonts w:hint="cs"/>
          <w:rtl/>
        </w:rPr>
        <w:t xml:space="preserve">החל </w:t>
      </w:r>
      <w:r w:rsidR="00AF2FE0" w:rsidRPr="00FD6020">
        <w:rPr>
          <w:rFonts w:hint="cs"/>
          <w:rtl/>
        </w:rPr>
        <w:t xml:space="preserve">מיום 1 במרץ 2020 ועד ליום </w:t>
      </w:r>
      <w:r w:rsidR="00AE54F7" w:rsidRPr="00FD6020">
        <w:rPr>
          <w:rFonts w:hint="cs"/>
          <w:rtl/>
        </w:rPr>
        <w:t xml:space="preserve">17 </w:t>
      </w:r>
      <w:r w:rsidR="00780E56" w:rsidRPr="00FD6020">
        <w:rPr>
          <w:rFonts w:hint="cs"/>
          <w:rtl/>
        </w:rPr>
        <w:t>באוקטובר 2020;</w:t>
      </w:r>
      <w:r w:rsidR="00AF2FE0" w:rsidRPr="00FD6020">
        <w:rPr>
          <w:rFonts w:hint="cs"/>
          <w:rtl/>
        </w:rPr>
        <w:t xml:space="preserve"> </w:t>
      </w:r>
    </w:p>
    <w:p w:rsidR="00C61C3F" w:rsidRPr="00FD6020" w:rsidRDefault="00277C80" w:rsidP="001F62E4">
      <w:pPr>
        <w:pStyle w:val="aa"/>
        <w:numPr>
          <w:ilvl w:val="1"/>
          <w:numId w:val="12"/>
        </w:numPr>
        <w:spacing w:before="100" w:beforeAutospacing="1" w:line="360" w:lineRule="auto"/>
        <w:ind w:left="892" w:hanging="425"/>
        <w:jc w:val="both"/>
      </w:pPr>
      <w:r w:rsidRPr="00FD6020">
        <w:rPr>
          <w:rFonts w:hint="cs"/>
          <w:rtl/>
        </w:rPr>
        <w:t>ה</w:t>
      </w:r>
      <w:r w:rsidR="00AF2FE0" w:rsidRPr="00FD6020">
        <w:rPr>
          <w:rFonts w:hint="cs"/>
          <w:rtl/>
        </w:rPr>
        <w:t>שכר הקובע של המבוטח</w:t>
      </w:r>
      <w:r w:rsidR="00474F82" w:rsidRPr="00FD6020">
        <w:rPr>
          <w:rFonts w:hint="cs"/>
          <w:rtl/>
        </w:rPr>
        <w:t xml:space="preserve"> היה נמוך מה</w:t>
      </w:r>
      <w:r w:rsidR="00604DB5" w:rsidRPr="00FD6020">
        <w:rPr>
          <w:rFonts w:hint="cs"/>
          <w:rtl/>
        </w:rPr>
        <w:t>שכר היומי הממוצע במשק</w:t>
      </w:r>
      <w:r w:rsidR="00474F82" w:rsidRPr="00FD6020">
        <w:rPr>
          <w:rFonts w:hint="cs"/>
          <w:rtl/>
        </w:rPr>
        <w:t xml:space="preserve">. </w:t>
      </w:r>
      <w:r w:rsidR="00AF2FE0" w:rsidRPr="00FD6020">
        <w:rPr>
          <w:rFonts w:hint="cs"/>
          <w:rtl/>
        </w:rPr>
        <w:t xml:space="preserve"> </w:t>
      </w:r>
    </w:p>
    <w:p w:rsidR="00C61C3F" w:rsidRPr="00FD6020" w:rsidRDefault="00C61C3F" w:rsidP="001F62E4">
      <w:pPr>
        <w:rPr>
          <w:b/>
          <w:bCs/>
        </w:rPr>
      </w:pPr>
    </w:p>
    <w:p w:rsidR="00973A5D" w:rsidRPr="00FD6020" w:rsidRDefault="00973A5D" w:rsidP="001F62E4">
      <w:pPr>
        <w:pStyle w:val="aa"/>
        <w:numPr>
          <w:ilvl w:val="0"/>
          <w:numId w:val="8"/>
        </w:numPr>
        <w:rPr>
          <w:b/>
          <w:bCs/>
        </w:rPr>
      </w:pPr>
      <w:r w:rsidRPr="00FD6020">
        <w:rPr>
          <w:rFonts w:hint="eastAsia"/>
          <w:b/>
          <w:bCs/>
          <w:rtl/>
        </w:rPr>
        <w:t>תוספת</w:t>
      </w:r>
      <w:r w:rsidRPr="00FD6020">
        <w:rPr>
          <w:b/>
          <w:bCs/>
          <w:rtl/>
        </w:rPr>
        <w:t xml:space="preserve"> </w:t>
      </w:r>
      <w:r w:rsidRPr="00FD6020">
        <w:rPr>
          <w:rFonts w:hint="eastAsia"/>
          <w:b/>
          <w:bCs/>
          <w:rtl/>
        </w:rPr>
        <w:t>למענק</w:t>
      </w:r>
    </w:p>
    <w:p w:rsidR="00973A5D" w:rsidRPr="00FD6020" w:rsidRDefault="00973A5D" w:rsidP="001F62E4">
      <w:pPr>
        <w:spacing w:before="100" w:beforeAutospacing="1" w:line="360" w:lineRule="auto"/>
        <w:jc w:val="both"/>
      </w:pPr>
      <w:r w:rsidRPr="00FD6020">
        <w:rPr>
          <w:rFonts w:hint="eastAsia"/>
          <w:rtl/>
        </w:rPr>
        <w:t>בני</w:t>
      </w:r>
      <w:r w:rsidRPr="00FD6020">
        <w:rPr>
          <w:rtl/>
        </w:rPr>
        <w:t xml:space="preserve"> זוג הזכאים </w:t>
      </w:r>
      <w:r w:rsidR="00E52DF7" w:rsidRPr="00FD6020">
        <w:rPr>
          <w:rFonts w:hint="eastAsia"/>
          <w:rtl/>
        </w:rPr>
        <w:t>שניהם</w:t>
      </w:r>
      <w:r w:rsidR="00E52DF7" w:rsidRPr="00FD6020">
        <w:rPr>
          <w:rtl/>
        </w:rPr>
        <w:t xml:space="preserve"> </w:t>
      </w:r>
      <w:r w:rsidRPr="00FD6020">
        <w:rPr>
          <w:rFonts w:hint="eastAsia"/>
          <w:rtl/>
        </w:rPr>
        <w:t>למענק</w:t>
      </w:r>
      <w:r w:rsidRPr="00FD6020">
        <w:rPr>
          <w:rtl/>
        </w:rPr>
        <w:t xml:space="preserve"> </w:t>
      </w:r>
      <w:r w:rsidRPr="00FD6020">
        <w:rPr>
          <w:rFonts w:hint="eastAsia"/>
          <w:rtl/>
        </w:rPr>
        <w:t>חד</w:t>
      </w:r>
      <w:r w:rsidRPr="00FD6020">
        <w:rPr>
          <w:rtl/>
        </w:rPr>
        <w:t xml:space="preserve"> </w:t>
      </w:r>
      <w:r w:rsidRPr="00FD6020">
        <w:rPr>
          <w:rFonts w:hint="eastAsia"/>
          <w:rtl/>
        </w:rPr>
        <w:t>פעמי</w:t>
      </w:r>
      <w:r w:rsidRPr="00FD6020">
        <w:rPr>
          <w:rtl/>
        </w:rPr>
        <w:t xml:space="preserve"> </w:t>
      </w:r>
      <w:r w:rsidRPr="00FD6020">
        <w:rPr>
          <w:rFonts w:hint="eastAsia"/>
          <w:rtl/>
        </w:rPr>
        <w:t>יהיו</w:t>
      </w:r>
      <w:r w:rsidRPr="00FD6020">
        <w:rPr>
          <w:rtl/>
        </w:rPr>
        <w:t xml:space="preserve"> </w:t>
      </w:r>
      <w:r w:rsidRPr="00FD6020">
        <w:rPr>
          <w:rFonts w:hint="eastAsia"/>
          <w:rtl/>
        </w:rPr>
        <w:t>זכאים</w:t>
      </w:r>
      <w:r w:rsidR="00E52DF7" w:rsidRPr="00FD6020">
        <w:rPr>
          <w:rtl/>
        </w:rPr>
        <w:t xml:space="preserve"> כל אחד מהם לתוספת למענק בסכום של 500 שקלים חדשים.</w:t>
      </w:r>
    </w:p>
    <w:p w:rsidR="00E52DF7" w:rsidRPr="00FD6020" w:rsidRDefault="00E52DF7" w:rsidP="00580178">
      <w:pPr>
        <w:pStyle w:val="aa"/>
        <w:numPr>
          <w:ilvl w:val="0"/>
          <w:numId w:val="8"/>
        </w:numPr>
        <w:spacing w:before="100" w:beforeAutospacing="1" w:line="360" w:lineRule="auto"/>
        <w:jc w:val="both"/>
        <w:rPr>
          <w:b/>
          <w:bCs/>
        </w:rPr>
      </w:pPr>
      <w:r w:rsidRPr="00FD6020">
        <w:rPr>
          <w:rFonts w:hint="cs"/>
          <w:b/>
          <w:bCs/>
          <w:rtl/>
        </w:rPr>
        <w:t>תשלום המענקים והתוספת למענקים</w:t>
      </w:r>
    </w:p>
    <w:p w:rsidR="00E52DF7" w:rsidRPr="00FD6020" w:rsidRDefault="00E52DF7" w:rsidP="001F62E4">
      <w:pPr>
        <w:spacing w:before="100" w:beforeAutospacing="1" w:line="360" w:lineRule="auto"/>
        <w:jc w:val="both"/>
        <w:rPr>
          <w:rtl/>
        </w:rPr>
      </w:pPr>
      <w:r w:rsidRPr="00FD6020">
        <w:rPr>
          <w:rFonts w:hint="eastAsia"/>
          <w:rtl/>
        </w:rPr>
        <w:t>המוסד</w:t>
      </w:r>
      <w:r w:rsidRPr="00FD6020">
        <w:rPr>
          <w:rtl/>
        </w:rPr>
        <w:t xml:space="preserve"> ישלם את המענקים החד פעמיים והתוספת להם </w:t>
      </w:r>
      <w:r w:rsidRPr="00FD6020">
        <w:rPr>
          <w:rFonts w:hint="cs"/>
          <w:rtl/>
        </w:rPr>
        <w:t>לחשבון הבנק שאליו השתלמו דמי האבטלה למבוטח הזכאי למענק</w:t>
      </w:r>
      <w:r w:rsidR="00C61C3F" w:rsidRPr="00FD6020">
        <w:rPr>
          <w:rFonts w:hint="cs"/>
          <w:rtl/>
        </w:rPr>
        <w:t>.</w:t>
      </w:r>
      <w:r w:rsidRPr="00FD6020">
        <w:rPr>
          <w:rtl/>
        </w:rPr>
        <w:t xml:space="preserve"> </w:t>
      </w:r>
    </w:p>
    <w:p w:rsidR="00E52DF7" w:rsidRPr="00FD6020" w:rsidRDefault="00E52DF7" w:rsidP="001F62E4">
      <w:pPr>
        <w:pStyle w:val="aa"/>
        <w:spacing w:before="100" w:beforeAutospacing="1" w:line="360" w:lineRule="auto"/>
        <w:ind w:left="360"/>
        <w:jc w:val="both"/>
        <w:rPr>
          <w:b/>
          <w:bCs/>
        </w:rPr>
      </w:pPr>
    </w:p>
    <w:p w:rsidR="00B9547B" w:rsidRPr="00FD6020" w:rsidRDefault="00E52DF7" w:rsidP="00E52DF7">
      <w:pPr>
        <w:pStyle w:val="aa"/>
        <w:numPr>
          <w:ilvl w:val="0"/>
          <w:numId w:val="8"/>
        </w:numPr>
        <w:spacing w:before="100" w:beforeAutospacing="1" w:line="360" w:lineRule="auto"/>
        <w:jc w:val="both"/>
        <w:rPr>
          <w:b/>
          <w:bCs/>
        </w:rPr>
      </w:pPr>
      <w:r w:rsidRPr="00FD6020">
        <w:rPr>
          <w:rFonts w:hint="cs"/>
          <w:b/>
          <w:bCs/>
          <w:rtl/>
        </w:rPr>
        <w:t>החלת הוראות פרק י"ד לחוק</w:t>
      </w:r>
      <w:r w:rsidR="00B9547B" w:rsidRPr="00FD6020">
        <w:rPr>
          <w:b/>
          <w:bCs/>
          <w:rtl/>
        </w:rPr>
        <w:t xml:space="preserve"> </w:t>
      </w:r>
    </w:p>
    <w:p w:rsidR="009C0B60" w:rsidRPr="00FD6020" w:rsidRDefault="6BEA222D" w:rsidP="001F62E4">
      <w:pPr>
        <w:spacing w:before="100" w:beforeAutospacing="1" w:line="360" w:lineRule="auto"/>
        <w:jc w:val="both"/>
      </w:pPr>
      <w:r w:rsidRPr="00FD6020">
        <w:rPr>
          <w:rtl/>
        </w:rPr>
        <w:t>על תשלום מענקים</w:t>
      </w:r>
      <w:r w:rsidR="00C61C3F" w:rsidRPr="00FD6020">
        <w:rPr>
          <w:rFonts w:hint="cs"/>
          <w:rtl/>
        </w:rPr>
        <w:t xml:space="preserve"> </w:t>
      </w:r>
      <w:r w:rsidR="00E52DF7" w:rsidRPr="00FD6020">
        <w:rPr>
          <w:rFonts w:hint="cs"/>
          <w:rtl/>
        </w:rPr>
        <w:t xml:space="preserve">ותוספות למענקים </w:t>
      </w:r>
      <w:r w:rsidRPr="00FD6020">
        <w:rPr>
          <w:rtl/>
        </w:rPr>
        <w:t>לפי הסכם זה יחולו</w:t>
      </w:r>
      <w:r w:rsidR="002039DA" w:rsidRPr="00FD6020">
        <w:rPr>
          <w:rFonts w:hint="cs"/>
          <w:rtl/>
        </w:rPr>
        <w:t xml:space="preserve"> </w:t>
      </w:r>
      <w:r w:rsidRPr="00FD6020">
        <w:rPr>
          <w:rtl/>
        </w:rPr>
        <w:t xml:space="preserve">הוראות פרק י"ד לחוק </w:t>
      </w:r>
      <w:r w:rsidR="007D0F2C" w:rsidRPr="00FD6020">
        <w:rPr>
          <w:rtl/>
        </w:rPr>
        <w:t>למעט הסיפה של סעיף 303(ב) לעניין ניכוי מגמלה וסעיף 312, בשינויים המחויבים.</w:t>
      </w:r>
    </w:p>
    <w:p w:rsidR="002039DA" w:rsidRPr="00FD6020" w:rsidRDefault="002039DA" w:rsidP="00580178">
      <w:pPr>
        <w:tabs>
          <w:tab w:val="left" w:pos="226"/>
        </w:tabs>
        <w:spacing w:line="360" w:lineRule="auto"/>
        <w:rPr>
          <w:rFonts w:ascii="Calibri" w:hAnsi="Calibri"/>
          <w:rtl/>
        </w:rPr>
      </w:pPr>
    </w:p>
    <w:p w:rsidR="00E77453" w:rsidRPr="00FD6020" w:rsidRDefault="00002AE9" w:rsidP="0030687E">
      <w:pPr>
        <w:pStyle w:val="aa"/>
        <w:numPr>
          <w:ilvl w:val="0"/>
          <w:numId w:val="8"/>
        </w:numPr>
        <w:spacing w:before="100" w:beforeAutospacing="1" w:line="360" w:lineRule="auto"/>
        <w:jc w:val="both"/>
        <w:rPr>
          <w:b/>
          <w:bCs/>
        </w:rPr>
      </w:pPr>
      <w:r w:rsidRPr="00FD6020">
        <w:rPr>
          <w:rFonts w:hint="cs"/>
          <w:b/>
          <w:bCs/>
          <w:rtl/>
        </w:rPr>
        <w:t>דין מענק</w:t>
      </w:r>
      <w:r w:rsidR="00E52DF7" w:rsidRPr="00FD6020">
        <w:rPr>
          <w:rFonts w:hint="cs"/>
          <w:b/>
          <w:bCs/>
          <w:rtl/>
        </w:rPr>
        <w:t xml:space="preserve"> ותוספת למענק</w:t>
      </w:r>
    </w:p>
    <w:p w:rsidR="00E77453" w:rsidRPr="00FD6020" w:rsidRDefault="00C61C3F" w:rsidP="001F62E4">
      <w:pPr>
        <w:spacing w:before="100" w:beforeAutospacing="1" w:line="360" w:lineRule="auto"/>
        <w:jc w:val="both"/>
      </w:pPr>
      <w:r w:rsidRPr="00FD6020">
        <w:rPr>
          <w:rFonts w:hint="cs"/>
          <w:rtl/>
        </w:rPr>
        <w:t>ל</w:t>
      </w:r>
      <w:r w:rsidR="00E77453" w:rsidRPr="00FD6020">
        <w:rPr>
          <w:rFonts w:hint="cs"/>
          <w:rtl/>
        </w:rPr>
        <w:t xml:space="preserve">א יראו את המענק </w:t>
      </w:r>
      <w:r w:rsidR="00441AFD" w:rsidRPr="00FD6020">
        <w:rPr>
          <w:rFonts w:hint="cs"/>
          <w:rtl/>
        </w:rPr>
        <w:t xml:space="preserve">והתוספת למענק המשתלמים </w:t>
      </w:r>
      <w:r w:rsidR="00E77453" w:rsidRPr="00FD6020">
        <w:rPr>
          <w:rFonts w:hint="cs"/>
          <w:rtl/>
        </w:rPr>
        <w:t xml:space="preserve">מכוח הסכם זה כהכנסה לפי כל דין.  </w:t>
      </w:r>
    </w:p>
    <w:p w:rsidR="00E77453" w:rsidRPr="00FD6020" w:rsidRDefault="00E77453" w:rsidP="00580178">
      <w:pPr>
        <w:tabs>
          <w:tab w:val="left" w:pos="226"/>
        </w:tabs>
        <w:spacing w:line="360" w:lineRule="auto"/>
        <w:rPr>
          <w:rFonts w:ascii="Calibri" w:hAnsi="Calibri"/>
        </w:rPr>
      </w:pPr>
    </w:p>
    <w:p w:rsidR="00B9547B" w:rsidRPr="00FD6020" w:rsidRDefault="00B9547B" w:rsidP="00580178">
      <w:pPr>
        <w:pStyle w:val="aa"/>
        <w:numPr>
          <w:ilvl w:val="0"/>
          <w:numId w:val="8"/>
        </w:numPr>
        <w:spacing w:before="100" w:beforeAutospacing="1" w:line="360" w:lineRule="auto"/>
        <w:ind w:left="368" w:hanging="368"/>
        <w:jc w:val="both"/>
        <w:rPr>
          <w:b/>
          <w:bCs/>
        </w:rPr>
      </w:pPr>
      <w:r w:rsidRPr="00FD6020">
        <w:rPr>
          <w:rFonts w:hint="eastAsia"/>
          <w:b/>
          <w:bCs/>
          <w:rtl/>
        </w:rPr>
        <w:t>מימון</w:t>
      </w:r>
      <w:r w:rsidRPr="00FD6020">
        <w:rPr>
          <w:b/>
          <w:bCs/>
          <w:rtl/>
        </w:rPr>
        <w:t xml:space="preserve"> </w:t>
      </w:r>
      <w:r w:rsidRPr="00FD6020">
        <w:rPr>
          <w:rFonts w:hint="eastAsia"/>
          <w:b/>
          <w:bCs/>
          <w:rtl/>
        </w:rPr>
        <w:t>וה</w:t>
      </w:r>
      <w:r w:rsidRPr="00FD6020">
        <w:rPr>
          <w:rFonts w:hint="cs"/>
          <w:b/>
          <w:bCs/>
          <w:rtl/>
        </w:rPr>
        <w:t xml:space="preserve">חזר הוצאות </w:t>
      </w:r>
    </w:p>
    <w:p w:rsidR="00B9547B" w:rsidRPr="00FD6020" w:rsidRDefault="00B9547B" w:rsidP="00580178">
      <w:pPr>
        <w:pStyle w:val="aa"/>
        <w:spacing w:before="100" w:beforeAutospacing="1" w:line="360" w:lineRule="auto"/>
        <w:ind w:left="368"/>
        <w:jc w:val="both"/>
        <w:rPr>
          <w:rtl/>
        </w:rPr>
      </w:pPr>
    </w:p>
    <w:p w:rsidR="00395277" w:rsidRPr="00FD6020" w:rsidRDefault="00395277" w:rsidP="001F62E4">
      <w:pPr>
        <w:pStyle w:val="aa"/>
        <w:numPr>
          <w:ilvl w:val="0"/>
          <w:numId w:val="18"/>
        </w:numPr>
        <w:spacing w:before="100" w:beforeAutospacing="1" w:line="360" w:lineRule="auto"/>
        <w:ind w:left="467" w:hanging="426"/>
        <w:jc w:val="both"/>
        <w:rPr>
          <w:rtl/>
        </w:rPr>
      </w:pPr>
      <w:r w:rsidRPr="00FD6020">
        <w:rPr>
          <w:rFonts w:hint="cs"/>
          <w:rtl/>
        </w:rPr>
        <w:t>מענק</w:t>
      </w:r>
      <w:r w:rsidR="00F541B2" w:rsidRPr="00FD6020">
        <w:rPr>
          <w:rFonts w:hint="cs"/>
          <w:rtl/>
        </w:rPr>
        <w:t>ים</w:t>
      </w:r>
      <w:r w:rsidRPr="00FD6020">
        <w:rPr>
          <w:rFonts w:hint="cs"/>
          <w:rtl/>
        </w:rPr>
        <w:t xml:space="preserve"> </w:t>
      </w:r>
      <w:r w:rsidR="00441AFD" w:rsidRPr="00FD6020">
        <w:rPr>
          <w:rFonts w:hint="cs"/>
          <w:rtl/>
        </w:rPr>
        <w:t xml:space="preserve">ותוספת למענקים </w:t>
      </w:r>
      <w:r w:rsidRPr="00FD6020">
        <w:rPr>
          <w:rFonts w:hint="cs"/>
          <w:rtl/>
        </w:rPr>
        <w:t xml:space="preserve">לפי הסכם זה </w:t>
      </w:r>
      <w:r w:rsidR="00216B2A" w:rsidRPr="00FD6020">
        <w:rPr>
          <w:rFonts w:hint="cs"/>
          <w:rtl/>
        </w:rPr>
        <w:t xml:space="preserve">ישולמו </w:t>
      </w:r>
      <w:r w:rsidRPr="00FD6020">
        <w:rPr>
          <w:rFonts w:hint="cs"/>
          <w:rtl/>
        </w:rPr>
        <w:t>על חשבון אוצר המדינה באמצעות המוסד.</w:t>
      </w:r>
    </w:p>
    <w:p w:rsidR="004F628B" w:rsidRPr="00FD6020" w:rsidRDefault="004F628B" w:rsidP="00580178">
      <w:pPr>
        <w:pStyle w:val="aa"/>
        <w:spacing w:before="100" w:beforeAutospacing="1" w:line="360" w:lineRule="auto"/>
        <w:ind w:left="368"/>
        <w:jc w:val="both"/>
        <w:rPr>
          <w:rtl/>
        </w:rPr>
      </w:pPr>
    </w:p>
    <w:p w:rsidR="00395277" w:rsidRPr="00FD6020" w:rsidRDefault="00B66BAB" w:rsidP="001F62E4">
      <w:pPr>
        <w:pStyle w:val="aa"/>
        <w:numPr>
          <w:ilvl w:val="0"/>
          <w:numId w:val="18"/>
        </w:numPr>
        <w:spacing w:before="100" w:beforeAutospacing="1" w:line="360" w:lineRule="auto"/>
        <w:ind w:left="467" w:hanging="426"/>
        <w:jc w:val="both"/>
        <w:rPr>
          <w:rtl/>
        </w:rPr>
      </w:pPr>
      <w:r w:rsidRPr="00FD6020">
        <w:rPr>
          <w:rFonts w:hint="cs"/>
          <w:rtl/>
        </w:rPr>
        <w:t xml:space="preserve">המוסד </w:t>
      </w:r>
      <w:r w:rsidR="00395277" w:rsidRPr="00FD6020">
        <w:rPr>
          <w:rFonts w:hint="cs"/>
          <w:rtl/>
        </w:rPr>
        <w:t>יגיש לממשלה, באמצעות משרד האוצר, חשבון מפורט של סכום ההוצאה לפי הסכם זה, שהוציא המוסד בפועל.</w:t>
      </w:r>
    </w:p>
    <w:p w:rsidR="004F628B" w:rsidRPr="00FD6020" w:rsidRDefault="004F628B" w:rsidP="00580178">
      <w:pPr>
        <w:pStyle w:val="aa"/>
        <w:spacing w:before="100" w:beforeAutospacing="1" w:line="360" w:lineRule="auto"/>
        <w:ind w:left="368"/>
        <w:jc w:val="both"/>
        <w:rPr>
          <w:rtl/>
        </w:rPr>
      </w:pPr>
    </w:p>
    <w:p w:rsidR="00395277" w:rsidRPr="00FD6020" w:rsidRDefault="00395277" w:rsidP="001F62E4">
      <w:pPr>
        <w:pStyle w:val="aa"/>
        <w:numPr>
          <w:ilvl w:val="0"/>
          <w:numId w:val="18"/>
        </w:numPr>
        <w:spacing w:before="100" w:beforeAutospacing="1" w:line="360" w:lineRule="auto"/>
        <w:ind w:left="467" w:hanging="426"/>
        <w:jc w:val="both"/>
      </w:pPr>
      <w:r w:rsidRPr="00FD6020">
        <w:rPr>
          <w:rFonts w:hint="cs"/>
          <w:rtl/>
        </w:rPr>
        <w:t>הממשלה תשפה את המוסד, באמצעות משרד האוצר, בסכום תשלום</w:t>
      </w:r>
      <w:r w:rsidRPr="00FD6020">
        <w:rPr>
          <w:rFonts w:hint="cs"/>
        </w:rPr>
        <w:t xml:space="preserve"> </w:t>
      </w:r>
      <w:r w:rsidRPr="00FD6020">
        <w:rPr>
          <w:rFonts w:hint="eastAsia"/>
          <w:rtl/>
        </w:rPr>
        <w:t>המענק</w:t>
      </w:r>
      <w:r w:rsidR="00F541B2" w:rsidRPr="00FD6020">
        <w:rPr>
          <w:rFonts w:hint="eastAsia"/>
          <w:rtl/>
        </w:rPr>
        <w:t>ים</w:t>
      </w:r>
      <w:r w:rsidR="00F541B2" w:rsidRPr="00FD6020">
        <w:rPr>
          <w:rtl/>
        </w:rPr>
        <w:t xml:space="preserve"> </w:t>
      </w:r>
      <w:r w:rsidRPr="00FD6020">
        <w:rPr>
          <w:rFonts w:hint="eastAsia"/>
          <w:rtl/>
        </w:rPr>
        <w:t>שהוא</w:t>
      </w:r>
      <w:r w:rsidRPr="00FD6020">
        <w:rPr>
          <w:rtl/>
        </w:rPr>
        <w:t xml:space="preserve"> ישלם לפי הסכם זה, וזאת לפי </w:t>
      </w:r>
      <w:r w:rsidRPr="00FD6020">
        <w:rPr>
          <w:rFonts w:hint="eastAsia"/>
          <w:rtl/>
        </w:rPr>
        <w:t>נוהל</w:t>
      </w:r>
      <w:r w:rsidRPr="00FD6020">
        <w:rPr>
          <w:rtl/>
        </w:rPr>
        <w:t xml:space="preserve"> </w:t>
      </w:r>
      <w:r w:rsidRPr="00FD6020">
        <w:rPr>
          <w:rFonts w:hint="eastAsia"/>
          <w:rtl/>
        </w:rPr>
        <w:t>השתתפות</w:t>
      </w:r>
      <w:r w:rsidRPr="00FD6020">
        <w:rPr>
          <w:rtl/>
        </w:rPr>
        <w:t xml:space="preserve"> </w:t>
      </w:r>
      <w:r w:rsidRPr="00FD6020">
        <w:rPr>
          <w:rFonts w:hint="eastAsia"/>
          <w:rtl/>
        </w:rPr>
        <w:t>אוצר</w:t>
      </w:r>
      <w:r w:rsidRPr="00FD6020">
        <w:rPr>
          <w:rtl/>
        </w:rPr>
        <w:t xml:space="preserve"> </w:t>
      </w:r>
      <w:r w:rsidRPr="00FD6020">
        <w:rPr>
          <w:rFonts w:hint="eastAsia"/>
          <w:rtl/>
        </w:rPr>
        <w:t>המדינה</w:t>
      </w:r>
      <w:r w:rsidRPr="00FD6020">
        <w:rPr>
          <w:rtl/>
        </w:rPr>
        <w:t xml:space="preserve"> </w:t>
      </w:r>
      <w:r w:rsidRPr="00FD6020">
        <w:rPr>
          <w:rFonts w:hint="eastAsia"/>
          <w:rtl/>
        </w:rPr>
        <w:t>בתשלומי</w:t>
      </w:r>
      <w:r w:rsidRPr="00FD6020">
        <w:rPr>
          <w:rtl/>
        </w:rPr>
        <w:t xml:space="preserve"> </w:t>
      </w:r>
      <w:r w:rsidRPr="00FD6020">
        <w:rPr>
          <w:rFonts w:hint="eastAsia"/>
          <w:rtl/>
        </w:rPr>
        <w:t>המוסד</w:t>
      </w:r>
      <w:r w:rsidRPr="00FD6020">
        <w:rPr>
          <w:rtl/>
        </w:rPr>
        <w:t xml:space="preserve"> </w:t>
      </w:r>
      <w:r w:rsidRPr="00FD6020">
        <w:rPr>
          <w:rFonts w:hint="eastAsia"/>
          <w:rtl/>
        </w:rPr>
        <w:t>לביטוח</w:t>
      </w:r>
      <w:r w:rsidRPr="00FD6020">
        <w:rPr>
          <w:rtl/>
        </w:rPr>
        <w:t xml:space="preserve"> </w:t>
      </w:r>
      <w:r w:rsidRPr="00FD6020">
        <w:rPr>
          <w:rFonts w:hint="eastAsia"/>
          <w:rtl/>
        </w:rPr>
        <w:t>לאומי</w:t>
      </w:r>
      <w:r w:rsidRPr="00FD6020">
        <w:rPr>
          <w:rtl/>
        </w:rPr>
        <w:t xml:space="preserve"> (להלן </w:t>
      </w:r>
      <w:r w:rsidRPr="00FD6020">
        <w:rPr>
          <w:rFonts w:hint="eastAsia"/>
          <w:rtl/>
        </w:rPr>
        <w:t>–</w:t>
      </w:r>
      <w:r w:rsidRPr="00FD6020">
        <w:rPr>
          <w:rtl/>
        </w:rPr>
        <w:t xml:space="preserve"> </w:t>
      </w:r>
      <w:r w:rsidRPr="00FD6020">
        <w:rPr>
          <w:rFonts w:hint="eastAsia"/>
          <w:rtl/>
        </w:rPr>
        <w:t>הנוהל</w:t>
      </w:r>
      <w:r w:rsidRPr="00FD6020">
        <w:rPr>
          <w:rtl/>
        </w:rPr>
        <w:t>).</w:t>
      </w:r>
      <w:r w:rsidRPr="00FD6020">
        <w:rPr>
          <w:rFonts w:hint="cs"/>
          <w:rtl/>
        </w:rPr>
        <w:t xml:space="preserve"> </w:t>
      </w:r>
    </w:p>
    <w:p w:rsidR="004F628B" w:rsidRPr="00FD6020" w:rsidRDefault="004F628B" w:rsidP="00580178">
      <w:pPr>
        <w:pStyle w:val="aa"/>
        <w:spacing w:before="100" w:beforeAutospacing="1" w:line="360" w:lineRule="auto"/>
        <w:ind w:left="368"/>
        <w:jc w:val="both"/>
        <w:rPr>
          <w:rtl/>
        </w:rPr>
      </w:pPr>
    </w:p>
    <w:p w:rsidR="00395277" w:rsidRPr="00FD6020" w:rsidRDefault="00395277" w:rsidP="001F62E4">
      <w:pPr>
        <w:pStyle w:val="aa"/>
        <w:numPr>
          <w:ilvl w:val="0"/>
          <w:numId w:val="18"/>
        </w:numPr>
        <w:spacing w:before="100" w:beforeAutospacing="1" w:line="360" w:lineRule="auto"/>
        <w:ind w:left="467" w:hanging="426"/>
        <w:jc w:val="both"/>
        <w:rPr>
          <w:rtl/>
        </w:rPr>
      </w:pPr>
      <w:r w:rsidRPr="00FD6020">
        <w:rPr>
          <w:rFonts w:hint="eastAsia"/>
          <w:rtl/>
        </w:rPr>
        <w:t>הממשלה</w:t>
      </w:r>
      <w:r w:rsidRPr="00FD6020">
        <w:rPr>
          <w:rtl/>
        </w:rPr>
        <w:t xml:space="preserve">, </w:t>
      </w:r>
      <w:r w:rsidRPr="00FD6020">
        <w:rPr>
          <w:rFonts w:hint="eastAsia"/>
          <w:rtl/>
        </w:rPr>
        <w:t>באמצעות</w:t>
      </w:r>
      <w:r w:rsidRPr="00FD6020">
        <w:rPr>
          <w:rtl/>
        </w:rPr>
        <w:t xml:space="preserve"> </w:t>
      </w:r>
      <w:r w:rsidRPr="00FD6020">
        <w:rPr>
          <w:rFonts w:hint="eastAsia"/>
          <w:rtl/>
        </w:rPr>
        <w:t>משרד</w:t>
      </w:r>
      <w:r w:rsidRPr="00FD6020">
        <w:rPr>
          <w:rtl/>
        </w:rPr>
        <w:t xml:space="preserve"> </w:t>
      </w:r>
      <w:r w:rsidRPr="00FD6020">
        <w:rPr>
          <w:rFonts w:hint="eastAsia"/>
          <w:rtl/>
        </w:rPr>
        <w:t>האוצר</w:t>
      </w:r>
      <w:r w:rsidRPr="00FD6020">
        <w:rPr>
          <w:rtl/>
        </w:rPr>
        <w:t xml:space="preserve">, </w:t>
      </w:r>
      <w:r w:rsidRPr="00FD6020">
        <w:rPr>
          <w:rFonts w:hint="eastAsia"/>
          <w:rtl/>
        </w:rPr>
        <w:t>תשפה</w:t>
      </w:r>
      <w:r w:rsidRPr="00FD6020">
        <w:rPr>
          <w:rtl/>
        </w:rPr>
        <w:t xml:space="preserve"> </w:t>
      </w:r>
      <w:r w:rsidRPr="00FD6020">
        <w:rPr>
          <w:rFonts w:hint="eastAsia"/>
          <w:rtl/>
        </w:rPr>
        <w:t>את</w:t>
      </w:r>
      <w:r w:rsidRPr="00FD6020">
        <w:rPr>
          <w:rtl/>
        </w:rPr>
        <w:t xml:space="preserve"> </w:t>
      </w:r>
      <w:r w:rsidRPr="00FD6020">
        <w:rPr>
          <w:rFonts w:hint="eastAsia"/>
          <w:rtl/>
        </w:rPr>
        <w:t>המוסד</w:t>
      </w:r>
      <w:r w:rsidRPr="00FD6020">
        <w:rPr>
          <w:rtl/>
        </w:rPr>
        <w:t xml:space="preserve"> </w:t>
      </w:r>
      <w:r w:rsidRPr="00FD6020">
        <w:rPr>
          <w:rFonts w:hint="eastAsia"/>
          <w:rtl/>
        </w:rPr>
        <w:t>לפי</w:t>
      </w:r>
      <w:r w:rsidRPr="00FD6020">
        <w:rPr>
          <w:rtl/>
        </w:rPr>
        <w:t xml:space="preserve"> </w:t>
      </w:r>
      <w:r w:rsidRPr="00FD6020">
        <w:rPr>
          <w:rFonts w:hint="eastAsia"/>
          <w:rtl/>
        </w:rPr>
        <w:t>החלק</w:t>
      </w:r>
      <w:r w:rsidRPr="00FD6020">
        <w:rPr>
          <w:rtl/>
        </w:rPr>
        <w:t xml:space="preserve"> </w:t>
      </w:r>
      <w:r w:rsidRPr="00FD6020">
        <w:rPr>
          <w:rFonts w:hint="eastAsia"/>
          <w:rtl/>
        </w:rPr>
        <w:t>היחסי</w:t>
      </w:r>
      <w:r w:rsidRPr="00FD6020">
        <w:rPr>
          <w:rtl/>
        </w:rPr>
        <w:t xml:space="preserve"> </w:t>
      </w:r>
      <w:r w:rsidRPr="00FD6020">
        <w:rPr>
          <w:rFonts w:hint="eastAsia"/>
          <w:rtl/>
        </w:rPr>
        <w:t>מההוצאות</w:t>
      </w:r>
      <w:r w:rsidRPr="00FD6020">
        <w:rPr>
          <w:rtl/>
        </w:rPr>
        <w:t xml:space="preserve"> </w:t>
      </w:r>
      <w:r w:rsidRPr="00FD6020">
        <w:rPr>
          <w:rFonts w:hint="eastAsia"/>
          <w:rtl/>
        </w:rPr>
        <w:t>המנהליות</w:t>
      </w:r>
      <w:r w:rsidRPr="00FD6020">
        <w:rPr>
          <w:rtl/>
        </w:rPr>
        <w:t xml:space="preserve"> </w:t>
      </w:r>
      <w:r w:rsidRPr="00FD6020">
        <w:rPr>
          <w:rFonts w:hint="eastAsia"/>
          <w:rtl/>
        </w:rPr>
        <w:t>של</w:t>
      </w:r>
      <w:r w:rsidRPr="00FD6020">
        <w:rPr>
          <w:rtl/>
        </w:rPr>
        <w:t xml:space="preserve"> </w:t>
      </w:r>
      <w:r w:rsidRPr="00FD6020">
        <w:rPr>
          <w:rFonts w:hint="eastAsia"/>
          <w:rtl/>
        </w:rPr>
        <w:t>המוסד</w:t>
      </w:r>
      <w:r w:rsidRPr="00FD6020">
        <w:rPr>
          <w:rtl/>
        </w:rPr>
        <w:t xml:space="preserve"> </w:t>
      </w:r>
      <w:r w:rsidRPr="00FD6020">
        <w:rPr>
          <w:rFonts w:hint="eastAsia"/>
          <w:rtl/>
        </w:rPr>
        <w:t>הנובעות</w:t>
      </w:r>
      <w:r w:rsidRPr="00FD6020">
        <w:rPr>
          <w:rtl/>
        </w:rPr>
        <w:t xml:space="preserve"> </w:t>
      </w:r>
      <w:r w:rsidRPr="00FD6020">
        <w:rPr>
          <w:rFonts w:hint="eastAsia"/>
          <w:rtl/>
        </w:rPr>
        <w:t>מביצוע</w:t>
      </w:r>
      <w:r w:rsidRPr="00FD6020">
        <w:rPr>
          <w:rtl/>
        </w:rPr>
        <w:t xml:space="preserve"> </w:t>
      </w:r>
      <w:r w:rsidRPr="00FD6020">
        <w:rPr>
          <w:rFonts w:hint="eastAsia"/>
          <w:rtl/>
        </w:rPr>
        <w:t>הסכם</w:t>
      </w:r>
      <w:r w:rsidRPr="00FD6020">
        <w:rPr>
          <w:rtl/>
        </w:rPr>
        <w:t xml:space="preserve"> </w:t>
      </w:r>
      <w:r w:rsidRPr="00FD6020">
        <w:rPr>
          <w:rFonts w:hint="eastAsia"/>
          <w:rtl/>
        </w:rPr>
        <w:t>זה</w:t>
      </w:r>
      <w:r w:rsidRPr="00FD6020">
        <w:rPr>
          <w:rtl/>
        </w:rPr>
        <w:t xml:space="preserve"> </w:t>
      </w:r>
      <w:r w:rsidRPr="00FD6020">
        <w:rPr>
          <w:rFonts w:hint="eastAsia"/>
          <w:rtl/>
        </w:rPr>
        <w:t>כפי</w:t>
      </w:r>
      <w:r w:rsidRPr="00FD6020">
        <w:rPr>
          <w:rtl/>
        </w:rPr>
        <w:t xml:space="preserve"> </w:t>
      </w:r>
      <w:r w:rsidRPr="00FD6020">
        <w:rPr>
          <w:rFonts w:hint="eastAsia"/>
          <w:rtl/>
        </w:rPr>
        <w:t>שהיו</w:t>
      </w:r>
      <w:r w:rsidRPr="00FD6020">
        <w:rPr>
          <w:rtl/>
        </w:rPr>
        <w:t xml:space="preserve"> </w:t>
      </w:r>
      <w:r w:rsidRPr="00FD6020">
        <w:rPr>
          <w:rFonts w:hint="eastAsia"/>
          <w:rtl/>
        </w:rPr>
        <w:t>בפועל</w:t>
      </w:r>
      <w:r w:rsidRPr="00FD6020">
        <w:rPr>
          <w:rtl/>
        </w:rPr>
        <w:t xml:space="preserve"> </w:t>
      </w:r>
      <w:r w:rsidRPr="00FD6020">
        <w:rPr>
          <w:rFonts w:hint="eastAsia"/>
          <w:rtl/>
        </w:rPr>
        <w:t>ובהתאם</w:t>
      </w:r>
      <w:r w:rsidRPr="00FD6020">
        <w:rPr>
          <w:rtl/>
        </w:rPr>
        <w:t xml:space="preserve"> </w:t>
      </w:r>
      <w:r w:rsidRPr="00FD6020">
        <w:rPr>
          <w:rFonts w:hint="eastAsia"/>
          <w:rtl/>
        </w:rPr>
        <w:t>לנוהל</w:t>
      </w:r>
      <w:r w:rsidRPr="00FD6020">
        <w:rPr>
          <w:rtl/>
        </w:rPr>
        <w:t>.</w:t>
      </w:r>
    </w:p>
    <w:p w:rsidR="009520D1" w:rsidRPr="00FD6020" w:rsidRDefault="009520D1" w:rsidP="00580178">
      <w:pPr>
        <w:pStyle w:val="aa"/>
        <w:spacing w:before="100" w:beforeAutospacing="1" w:line="360" w:lineRule="auto"/>
        <w:ind w:left="360"/>
        <w:jc w:val="both"/>
        <w:rPr>
          <w:rtl/>
        </w:rPr>
      </w:pPr>
    </w:p>
    <w:p w:rsidR="00395277" w:rsidRPr="00FD6020" w:rsidRDefault="00395277" w:rsidP="00395277">
      <w:pPr>
        <w:rPr>
          <w:rFonts w:cs="Times New Roman"/>
          <w:lang w:eastAsia="he-IL"/>
        </w:rPr>
      </w:pPr>
    </w:p>
    <w:tbl>
      <w:tblPr>
        <w:tblStyle w:val="af4"/>
        <w:bidiVisual/>
        <w:tblW w:w="0" w:type="auto"/>
        <w:tblLook w:val="04A0" w:firstRow="1" w:lastRow="0" w:firstColumn="1" w:lastColumn="0" w:noHBand="0" w:noVBand="1"/>
      </w:tblPr>
      <w:tblGrid>
        <w:gridCol w:w="1380"/>
        <w:gridCol w:w="1397"/>
        <w:gridCol w:w="1397"/>
        <w:gridCol w:w="1409"/>
        <w:gridCol w:w="1411"/>
        <w:gridCol w:w="1401"/>
      </w:tblGrid>
      <w:tr w:rsidR="00EA6A73" w:rsidRPr="00FD6020" w:rsidTr="001E67FD">
        <w:tc>
          <w:tcPr>
            <w:tcW w:w="1420" w:type="dxa"/>
          </w:tcPr>
          <w:p w:rsidR="00EA6A73" w:rsidRPr="00FD6020" w:rsidRDefault="00EA6A73" w:rsidP="001E67FD">
            <w:pPr>
              <w:rPr>
                <w:rFonts w:ascii="Hadasa Roso SL" w:eastAsia="MS Mincho" w:hAnsi="Hadasa Roso SL" w:cs="Hadasa Roso SL"/>
                <w:spacing w:val="1"/>
                <w:sz w:val="17"/>
                <w:szCs w:val="17"/>
                <w:rtl/>
              </w:rPr>
            </w:pPr>
          </w:p>
          <w:p w:rsidR="00C81541" w:rsidRPr="00FD6020" w:rsidRDefault="00C81541" w:rsidP="001E67FD">
            <w:pPr>
              <w:rPr>
                <w:rFonts w:ascii="Hadasa Roso SL" w:eastAsia="MS Mincho" w:hAnsi="Hadasa Roso SL" w:cs="Hadasa Roso SL"/>
                <w:spacing w:val="1"/>
                <w:sz w:val="17"/>
                <w:szCs w:val="17"/>
                <w:rtl/>
              </w:rPr>
            </w:pPr>
          </w:p>
        </w:tc>
        <w:tc>
          <w:tcPr>
            <w:tcW w:w="1420" w:type="dxa"/>
          </w:tcPr>
          <w:p w:rsidR="00EA6A73" w:rsidRPr="00FD6020" w:rsidRDefault="00EA6A73" w:rsidP="001E67FD">
            <w:pPr>
              <w:rPr>
                <w:rFonts w:ascii="Hadasa Roso SL" w:eastAsia="MS Mincho" w:hAnsi="Hadasa Roso SL" w:cs="Hadasa Roso SL"/>
                <w:spacing w:val="1"/>
                <w:sz w:val="17"/>
                <w:szCs w:val="17"/>
                <w:rtl/>
              </w:rPr>
            </w:pPr>
          </w:p>
        </w:tc>
        <w:tc>
          <w:tcPr>
            <w:tcW w:w="1420" w:type="dxa"/>
          </w:tcPr>
          <w:p w:rsidR="00EA6A73" w:rsidRPr="00FD6020" w:rsidRDefault="00EA6A73" w:rsidP="001E67FD">
            <w:pPr>
              <w:rPr>
                <w:rFonts w:ascii="Hadasa Roso SL" w:eastAsia="MS Mincho" w:hAnsi="Hadasa Roso SL" w:cs="Hadasa Roso SL"/>
                <w:spacing w:val="1"/>
                <w:sz w:val="17"/>
                <w:szCs w:val="17"/>
                <w:rtl/>
              </w:rPr>
            </w:pPr>
          </w:p>
        </w:tc>
        <w:tc>
          <w:tcPr>
            <w:tcW w:w="1420" w:type="dxa"/>
          </w:tcPr>
          <w:p w:rsidR="00EA6A73" w:rsidRPr="00FD6020" w:rsidRDefault="00EA6A73" w:rsidP="001E67FD">
            <w:pPr>
              <w:rPr>
                <w:rFonts w:ascii="Hadasa Roso SL" w:eastAsia="MS Mincho" w:hAnsi="Hadasa Roso SL" w:cs="Hadasa Roso SL"/>
                <w:spacing w:val="1"/>
                <w:sz w:val="17"/>
                <w:szCs w:val="17"/>
                <w:rtl/>
              </w:rPr>
            </w:pPr>
          </w:p>
        </w:tc>
        <w:tc>
          <w:tcPr>
            <w:tcW w:w="1421" w:type="dxa"/>
          </w:tcPr>
          <w:p w:rsidR="00EA6A73" w:rsidRPr="00FD6020" w:rsidRDefault="00EA6A73" w:rsidP="001E67FD">
            <w:pPr>
              <w:rPr>
                <w:rFonts w:ascii="Hadasa Roso SL" w:eastAsia="MS Mincho" w:hAnsi="Hadasa Roso SL" w:cs="Hadasa Roso SL"/>
                <w:spacing w:val="1"/>
                <w:sz w:val="17"/>
                <w:szCs w:val="17"/>
                <w:rtl/>
              </w:rPr>
            </w:pPr>
          </w:p>
        </w:tc>
        <w:tc>
          <w:tcPr>
            <w:tcW w:w="1421" w:type="dxa"/>
          </w:tcPr>
          <w:p w:rsidR="00EA6A73" w:rsidRPr="00FD6020" w:rsidRDefault="00EA6A73" w:rsidP="001E67FD">
            <w:pPr>
              <w:rPr>
                <w:rFonts w:ascii="Hadasa Roso SL" w:eastAsia="MS Mincho" w:hAnsi="Hadasa Roso SL" w:cs="Hadasa Roso SL"/>
                <w:spacing w:val="1"/>
                <w:sz w:val="17"/>
                <w:szCs w:val="17"/>
                <w:rtl/>
              </w:rPr>
            </w:pPr>
          </w:p>
        </w:tc>
      </w:tr>
      <w:tr w:rsidR="00EA6A73" w:rsidRPr="00FD6020" w:rsidTr="001E67FD">
        <w:tc>
          <w:tcPr>
            <w:tcW w:w="1420" w:type="dxa"/>
          </w:tcPr>
          <w:p w:rsidR="00EA6A73" w:rsidRPr="00FD6020" w:rsidRDefault="00EA6A73" w:rsidP="001E67FD">
            <w:pPr>
              <w:spacing w:after="200" w:line="276" w:lineRule="auto"/>
              <w:rPr>
                <w:rtl/>
              </w:rPr>
            </w:pPr>
          </w:p>
        </w:tc>
        <w:tc>
          <w:tcPr>
            <w:tcW w:w="1420" w:type="dxa"/>
          </w:tcPr>
          <w:p w:rsidR="00EA6A73" w:rsidRPr="00FD6020" w:rsidRDefault="00EA6A73" w:rsidP="001E67FD">
            <w:pPr>
              <w:spacing w:after="200" w:line="276" w:lineRule="auto"/>
              <w:rPr>
                <w:rtl/>
              </w:rPr>
            </w:pPr>
          </w:p>
        </w:tc>
        <w:tc>
          <w:tcPr>
            <w:tcW w:w="1420" w:type="dxa"/>
          </w:tcPr>
          <w:p w:rsidR="00EA6A73" w:rsidRPr="00FD6020" w:rsidRDefault="00EA6A73" w:rsidP="001E67FD">
            <w:pPr>
              <w:spacing w:after="200" w:line="276" w:lineRule="auto"/>
              <w:rPr>
                <w:rtl/>
              </w:rPr>
            </w:pPr>
          </w:p>
        </w:tc>
        <w:tc>
          <w:tcPr>
            <w:tcW w:w="1420" w:type="dxa"/>
          </w:tcPr>
          <w:p w:rsidR="00EA6A73" w:rsidRPr="00FD6020" w:rsidRDefault="00EA6A73" w:rsidP="001E67FD">
            <w:pPr>
              <w:spacing w:after="200" w:line="276" w:lineRule="auto"/>
              <w:rPr>
                <w:rtl/>
              </w:rPr>
            </w:pPr>
            <w:r w:rsidRPr="00FD6020">
              <w:rPr>
                <w:rFonts w:hint="eastAsia"/>
                <w:rtl/>
              </w:rPr>
              <w:t>חגית</w:t>
            </w:r>
            <w:r w:rsidRPr="00FD6020">
              <w:rPr>
                <w:rtl/>
              </w:rPr>
              <w:t xml:space="preserve"> </w:t>
            </w:r>
            <w:r w:rsidRPr="00FD6020">
              <w:rPr>
                <w:rFonts w:hint="eastAsia"/>
                <w:rtl/>
              </w:rPr>
              <w:t>גולדשטיין</w:t>
            </w:r>
            <w:r w:rsidRPr="00FD6020">
              <w:rPr>
                <w:rtl/>
              </w:rPr>
              <w:t xml:space="preserve"> </w:t>
            </w:r>
            <w:r w:rsidRPr="00FD6020">
              <w:rPr>
                <w:rFonts w:hint="eastAsia"/>
                <w:rtl/>
              </w:rPr>
              <w:t>מויאל</w:t>
            </w:r>
          </w:p>
        </w:tc>
        <w:tc>
          <w:tcPr>
            <w:tcW w:w="1421" w:type="dxa"/>
          </w:tcPr>
          <w:p w:rsidR="00EA6A73" w:rsidRPr="00FD6020" w:rsidRDefault="00D02E4B" w:rsidP="001E67FD">
            <w:pPr>
              <w:spacing w:after="200" w:line="276" w:lineRule="auto"/>
              <w:rPr>
                <w:rtl/>
              </w:rPr>
            </w:pPr>
            <w:r w:rsidRPr="00FD6020">
              <w:rPr>
                <w:rFonts w:hint="eastAsia"/>
                <w:rtl/>
              </w:rPr>
              <w:t>אורנה</w:t>
            </w:r>
            <w:r w:rsidRPr="00FD6020">
              <w:rPr>
                <w:rtl/>
              </w:rPr>
              <w:t xml:space="preserve"> </w:t>
            </w:r>
            <w:r w:rsidR="009C1E9A" w:rsidRPr="00FD6020">
              <w:rPr>
                <w:rFonts w:hint="eastAsia"/>
                <w:rtl/>
              </w:rPr>
              <w:t>ורקוביצקי</w:t>
            </w:r>
          </w:p>
        </w:tc>
        <w:tc>
          <w:tcPr>
            <w:tcW w:w="1421" w:type="dxa"/>
          </w:tcPr>
          <w:p w:rsidR="00EA6A73" w:rsidRPr="00FD6020" w:rsidRDefault="00EA6A73" w:rsidP="001E67FD">
            <w:pPr>
              <w:spacing w:after="200" w:line="276" w:lineRule="auto"/>
              <w:rPr>
                <w:rtl/>
              </w:rPr>
            </w:pPr>
            <w:r w:rsidRPr="00FD6020">
              <w:rPr>
                <w:rFonts w:hint="eastAsia"/>
                <w:rtl/>
              </w:rPr>
              <w:t>מאיר</w:t>
            </w:r>
            <w:r w:rsidRPr="00FD6020">
              <w:rPr>
                <w:rtl/>
              </w:rPr>
              <w:t xml:space="preserve"> </w:t>
            </w:r>
            <w:r w:rsidRPr="00FD6020">
              <w:rPr>
                <w:rFonts w:hint="eastAsia"/>
                <w:rtl/>
              </w:rPr>
              <w:t>שפיגלר</w:t>
            </w:r>
          </w:p>
        </w:tc>
      </w:tr>
      <w:tr w:rsidR="00EA6A73" w:rsidRPr="00FD6020" w:rsidTr="001E67FD">
        <w:tc>
          <w:tcPr>
            <w:tcW w:w="1420" w:type="dxa"/>
          </w:tcPr>
          <w:p w:rsidR="00EA6A73" w:rsidRPr="00FD6020" w:rsidRDefault="00EA6A73" w:rsidP="001E67FD">
            <w:pPr>
              <w:spacing w:after="200" w:line="276" w:lineRule="auto"/>
              <w:rPr>
                <w:rtl/>
                <w:lang w:eastAsia="he-IL"/>
              </w:rPr>
            </w:pPr>
          </w:p>
        </w:tc>
        <w:tc>
          <w:tcPr>
            <w:tcW w:w="1420" w:type="dxa"/>
          </w:tcPr>
          <w:p w:rsidR="00EA6A73" w:rsidRPr="00FD6020" w:rsidRDefault="00C81541" w:rsidP="001E67FD">
            <w:pPr>
              <w:spacing w:after="200" w:line="276" w:lineRule="auto"/>
              <w:rPr>
                <w:rtl/>
              </w:rPr>
            </w:pPr>
            <w:r w:rsidRPr="00FD6020">
              <w:rPr>
                <w:rFonts w:hint="eastAsia"/>
                <w:rtl/>
              </w:rPr>
              <w:t>סגן</w:t>
            </w:r>
            <w:r w:rsidRPr="00FD6020">
              <w:rPr>
                <w:rtl/>
              </w:rPr>
              <w:t xml:space="preserve"> </w:t>
            </w:r>
            <w:r w:rsidRPr="00FD6020">
              <w:rPr>
                <w:rFonts w:hint="eastAsia"/>
                <w:rtl/>
              </w:rPr>
              <w:t>בכיר</w:t>
            </w:r>
            <w:r w:rsidRPr="00FD6020">
              <w:rPr>
                <w:rtl/>
              </w:rPr>
              <w:t xml:space="preserve"> </w:t>
            </w:r>
            <w:r w:rsidRPr="00FD6020">
              <w:rPr>
                <w:rFonts w:hint="eastAsia"/>
                <w:rtl/>
              </w:rPr>
              <w:t>לחשב</w:t>
            </w:r>
            <w:r w:rsidRPr="00FD6020">
              <w:rPr>
                <w:rtl/>
              </w:rPr>
              <w:t xml:space="preserve"> </w:t>
            </w:r>
            <w:r w:rsidRPr="00FD6020">
              <w:rPr>
                <w:rFonts w:hint="eastAsia"/>
                <w:rtl/>
              </w:rPr>
              <w:t>הכללי</w:t>
            </w:r>
          </w:p>
        </w:tc>
        <w:tc>
          <w:tcPr>
            <w:tcW w:w="1420" w:type="dxa"/>
          </w:tcPr>
          <w:p w:rsidR="00EA6A73" w:rsidRPr="00FD6020" w:rsidRDefault="00EA6A73" w:rsidP="001E67FD">
            <w:pPr>
              <w:spacing w:after="200" w:line="276" w:lineRule="auto"/>
              <w:rPr>
                <w:rtl/>
              </w:rPr>
            </w:pPr>
            <w:r w:rsidRPr="00FD6020">
              <w:rPr>
                <w:rFonts w:hint="eastAsia"/>
                <w:rtl/>
              </w:rPr>
              <w:t>סגן</w:t>
            </w:r>
            <w:r w:rsidRPr="00FD6020">
              <w:rPr>
                <w:rtl/>
              </w:rPr>
              <w:t xml:space="preserve"> </w:t>
            </w:r>
            <w:r w:rsidRPr="00FD6020">
              <w:rPr>
                <w:rFonts w:hint="eastAsia"/>
                <w:rtl/>
              </w:rPr>
              <w:t>בכיר</w:t>
            </w:r>
            <w:r w:rsidRPr="00FD6020">
              <w:rPr>
                <w:rtl/>
              </w:rPr>
              <w:t xml:space="preserve"> </w:t>
            </w:r>
            <w:r w:rsidRPr="00FD6020">
              <w:rPr>
                <w:rFonts w:hint="eastAsia"/>
                <w:rtl/>
              </w:rPr>
              <w:t>לחשב</w:t>
            </w:r>
            <w:r w:rsidRPr="00FD6020">
              <w:rPr>
                <w:rtl/>
              </w:rPr>
              <w:t xml:space="preserve"> </w:t>
            </w:r>
            <w:r w:rsidRPr="00FD6020">
              <w:rPr>
                <w:rFonts w:hint="eastAsia"/>
                <w:rtl/>
              </w:rPr>
              <w:t>הכללי</w:t>
            </w:r>
          </w:p>
        </w:tc>
        <w:tc>
          <w:tcPr>
            <w:tcW w:w="1420" w:type="dxa"/>
          </w:tcPr>
          <w:p w:rsidR="00EA6A73" w:rsidRPr="00FD6020" w:rsidRDefault="00EA6A73" w:rsidP="001E67FD">
            <w:pPr>
              <w:spacing w:after="200" w:line="276" w:lineRule="auto"/>
              <w:rPr>
                <w:rtl/>
              </w:rPr>
            </w:pPr>
            <w:r w:rsidRPr="00FD6020">
              <w:rPr>
                <w:rFonts w:hint="eastAsia"/>
                <w:rtl/>
              </w:rPr>
              <w:t>חשבת</w:t>
            </w:r>
            <w:r w:rsidRPr="00FD6020">
              <w:rPr>
                <w:rtl/>
              </w:rPr>
              <w:t xml:space="preserve"> המוסד </w:t>
            </w:r>
          </w:p>
        </w:tc>
        <w:tc>
          <w:tcPr>
            <w:tcW w:w="1421" w:type="dxa"/>
          </w:tcPr>
          <w:p w:rsidR="00EA6A73" w:rsidRPr="00FD6020" w:rsidRDefault="00EA6A73" w:rsidP="00C81541">
            <w:pPr>
              <w:spacing w:after="200" w:line="276" w:lineRule="auto"/>
              <w:rPr>
                <w:rtl/>
              </w:rPr>
            </w:pPr>
            <w:r w:rsidRPr="00FD6020">
              <w:rPr>
                <w:rFonts w:hint="eastAsia"/>
                <w:rtl/>
              </w:rPr>
              <w:t>סגנית</w:t>
            </w:r>
            <w:r w:rsidRPr="00FD6020">
              <w:rPr>
                <w:rtl/>
              </w:rPr>
              <w:t xml:space="preserve"> </w:t>
            </w:r>
            <w:r w:rsidRPr="00FD6020">
              <w:rPr>
                <w:rFonts w:hint="eastAsia"/>
                <w:rtl/>
              </w:rPr>
              <w:t>המנהל</w:t>
            </w:r>
            <w:r w:rsidRPr="00FD6020">
              <w:rPr>
                <w:rtl/>
              </w:rPr>
              <w:t xml:space="preserve"> </w:t>
            </w:r>
            <w:r w:rsidRPr="00FD6020">
              <w:rPr>
                <w:rFonts w:hint="eastAsia"/>
                <w:rtl/>
              </w:rPr>
              <w:t>הכללי</w:t>
            </w:r>
            <w:r w:rsidR="009C1E9A" w:rsidRPr="00FD6020">
              <w:rPr>
                <w:rtl/>
              </w:rPr>
              <w:t xml:space="preserve"> </w:t>
            </w:r>
            <w:r w:rsidR="00C81541" w:rsidRPr="00FD6020">
              <w:rPr>
                <w:rFonts w:hint="eastAsia"/>
                <w:rtl/>
              </w:rPr>
              <w:t>וראש</w:t>
            </w:r>
            <w:r w:rsidR="00C81541" w:rsidRPr="00FD6020">
              <w:rPr>
                <w:rtl/>
              </w:rPr>
              <w:t xml:space="preserve"> </w:t>
            </w:r>
            <w:r w:rsidR="00C81541" w:rsidRPr="00FD6020">
              <w:rPr>
                <w:rFonts w:hint="eastAsia"/>
                <w:rtl/>
              </w:rPr>
              <w:t>מינהל</w:t>
            </w:r>
            <w:r w:rsidR="009C1E9A" w:rsidRPr="00FD6020">
              <w:rPr>
                <w:rtl/>
              </w:rPr>
              <w:t xml:space="preserve"> הגמלאות</w:t>
            </w:r>
          </w:p>
        </w:tc>
        <w:tc>
          <w:tcPr>
            <w:tcW w:w="1421" w:type="dxa"/>
          </w:tcPr>
          <w:p w:rsidR="00EA6A73" w:rsidRPr="00FD6020" w:rsidRDefault="00EA6A73" w:rsidP="001E67FD">
            <w:pPr>
              <w:spacing w:after="200" w:line="276" w:lineRule="auto"/>
              <w:rPr>
                <w:rtl/>
              </w:rPr>
            </w:pPr>
            <w:r w:rsidRPr="00FD6020">
              <w:rPr>
                <w:rFonts w:hint="eastAsia"/>
                <w:rtl/>
              </w:rPr>
              <w:t>המנהל</w:t>
            </w:r>
            <w:r w:rsidRPr="00FD6020">
              <w:rPr>
                <w:rtl/>
              </w:rPr>
              <w:t xml:space="preserve"> </w:t>
            </w:r>
            <w:r w:rsidRPr="00FD6020">
              <w:rPr>
                <w:rFonts w:hint="eastAsia"/>
                <w:rtl/>
              </w:rPr>
              <w:t>הכללי</w:t>
            </w:r>
          </w:p>
        </w:tc>
      </w:tr>
      <w:tr w:rsidR="00EA6A73" w:rsidRPr="00FD6020" w:rsidTr="001E67FD">
        <w:tc>
          <w:tcPr>
            <w:tcW w:w="4260" w:type="dxa"/>
            <w:gridSpan w:val="3"/>
          </w:tcPr>
          <w:p w:rsidR="00EA6A73" w:rsidRPr="00FD6020" w:rsidRDefault="00EA6A73" w:rsidP="001E67FD">
            <w:pPr>
              <w:spacing w:after="200" w:line="276" w:lineRule="auto"/>
              <w:jc w:val="center"/>
              <w:rPr>
                <w:rtl/>
              </w:rPr>
            </w:pPr>
            <w:r w:rsidRPr="00FD6020">
              <w:rPr>
                <w:rFonts w:hint="cs"/>
                <w:rtl/>
              </w:rPr>
              <w:t>משרד האוצר</w:t>
            </w:r>
          </w:p>
        </w:tc>
        <w:tc>
          <w:tcPr>
            <w:tcW w:w="4262" w:type="dxa"/>
            <w:gridSpan w:val="3"/>
          </w:tcPr>
          <w:p w:rsidR="00EA6A73" w:rsidRPr="00FD6020" w:rsidRDefault="00EA6A73" w:rsidP="001E67FD">
            <w:pPr>
              <w:spacing w:after="200" w:line="276" w:lineRule="auto"/>
              <w:jc w:val="center"/>
              <w:rPr>
                <w:rtl/>
              </w:rPr>
            </w:pPr>
            <w:r w:rsidRPr="00FD6020">
              <w:rPr>
                <w:rFonts w:hint="cs"/>
                <w:rtl/>
              </w:rPr>
              <w:t>המוסד לביטוח לאומי</w:t>
            </w:r>
          </w:p>
        </w:tc>
      </w:tr>
    </w:tbl>
    <w:p w:rsidR="00395277" w:rsidRPr="00FD6020" w:rsidRDefault="00395277" w:rsidP="00395277">
      <w:pPr>
        <w:rPr>
          <w:rtl/>
        </w:rPr>
      </w:pPr>
    </w:p>
    <w:p w:rsidR="00395277" w:rsidRPr="00FD6020" w:rsidRDefault="00395277" w:rsidP="00395277">
      <w:pPr>
        <w:rPr>
          <w:rFonts w:ascii="Hadasa Roso SL" w:eastAsia="MS Mincho" w:hAnsi="Hadasa Roso SL" w:cs="Hadasa Roso SL"/>
          <w:color w:val="000000"/>
          <w:spacing w:val="1"/>
          <w:sz w:val="17"/>
          <w:szCs w:val="17"/>
          <w:lang w:eastAsia="ja-JP"/>
        </w:rPr>
      </w:pPr>
      <w:r w:rsidRPr="00FD6020">
        <w:rPr>
          <w:rtl/>
        </w:rPr>
        <w:t xml:space="preserve"> </w:t>
      </w:r>
    </w:p>
    <w:p w:rsidR="00395277" w:rsidRPr="00FD6020" w:rsidRDefault="00395277" w:rsidP="005B38E3">
      <w:pPr>
        <w:jc w:val="both"/>
        <w:rPr>
          <w:b/>
          <w:bCs/>
          <w:rtl/>
        </w:rPr>
      </w:pPr>
      <w:r w:rsidRPr="00FD6020">
        <w:rPr>
          <w:rFonts w:hint="cs"/>
          <w:b/>
          <w:bCs/>
          <w:rtl/>
        </w:rPr>
        <w:t>_____</w:t>
      </w:r>
      <w:r w:rsidR="002B4128" w:rsidRPr="00FD6020">
        <w:rPr>
          <w:rFonts w:hint="cs"/>
          <w:b/>
          <w:bCs/>
          <w:rtl/>
        </w:rPr>
        <w:t>התש</w:t>
      </w:r>
      <w:r w:rsidR="005B38E3" w:rsidRPr="00FD6020">
        <w:rPr>
          <w:rFonts w:hint="cs"/>
          <w:b/>
          <w:bCs/>
          <w:rtl/>
        </w:rPr>
        <w:t>פ</w:t>
      </w:r>
      <w:r w:rsidR="002B4128" w:rsidRPr="00FD6020">
        <w:rPr>
          <w:rFonts w:hint="cs"/>
          <w:b/>
          <w:bCs/>
          <w:rtl/>
        </w:rPr>
        <w:t>"</w:t>
      </w:r>
      <w:r w:rsidR="005B38E3" w:rsidRPr="00FD6020">
        <w:rPr>
          <w:rFonts w:hint="cs"/>
          <w:b/>
          <w:bCs/>
          <w:rtl/>
        </w:rPr>
        <w:t>א</w:t>
      </w:r>
    </w:p>
    <w:p w:rsidR="00395277" w:rsidRPr="00FD6020" w:rsidRDefault="00395277" w:rsidP="00F51812">
      <w:pPr>
        <w:jc w:val="both"/>
        <w:rPr>
          <w:b/>
          <w:bCs/>
          <w:rtl/>
        </w:rPr>
      </w:pPr>
      <w:r w:rsidRPr="00FD6020">
        <w:rPr>
          <w:rFonts w:hint="cs"/>
          <w:b/>
          <w:bCs/>
          <w:rtl/>
        </w:rPr>
        <w:t>(______</w:t>
      </w:r>
      <w:r w:rsidR="002B4128" w:rsidRPr="00FD6020">
        <w:rPr>
          <w:rFonts w:hint="cs"/>
          <w:b/>
          <w:bCs/>
          <w:rtl/>
        </w:rPr>
        <w:t>2020</w:t>
      </w:r>
      <w:r w:rsidRPr="00FD6020">
        <w:rPr>
          <w:rFonts w:hint="cs"/>
          <w:b/>
          <w:bCs/>
          <w:rtl/>
        </w:rPr>
        <w:t>)</w:t>
      </w:r>
    </w:p>
    <w:p w:rsidR="00395277" w:rsidRPr="00395277" w:rsidRDefault="00395277" w:rsidP="00395277"/>
    <w:p w:rsidR="00395277" w:rsidRDefault="00395277"/>
    <w:sectPr w:rsidR="00395277" w:rsidSect="00580178">
      <w:pgSz w:w="11906" w:h="16838"/>
      <w:pgMar w:top="1440" w:right="1800" w:bottom="1440" w:left="170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35F" w:rsidRDefault="00CC735F" w:rsidP="00A41FAE">
      <w:r>
        <w:separator/>
      </w:r>
    </w:p>
  </w:endnote>
  <w:endnote w:type="continuationSeparator" w:id="0">
    <w:p w:rsidR="00CC735F" w:rsidRDefault="00CC735F" w:rsidP="00A4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adasa Roso SL">
    <w:altName w:val="Times New Roman"/>
    <w:charset w:val="00"/>
    <w:family w:val="roman"/>
    <w:pitch w:val="variable"/>
    <w:sig w:usb0="80001827" w:usb1="5000004A" w:usb2="00000020" w:usb3="00000000" w:csb0="00000021"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35F" w:rsidRDefault="00CC735F" w:rsidP="00A41FAE">
      <w:r>
        <w:separator/>
      </w:r>
    </w:p>
  </w:footnote>
  <w:footnote w:type="continuationSeparator" w:id="0">
    <w:p w:rsidR="00CC735F" w:rsidRDefault="00CC735F" w:rsidP="00A41F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A89"/>
    <w:multiLevelType w:val="hybridMultilevel"/>
    <w:tmpl w:val="654EE8F2"/>
    <w:lvl w:ilvl="0" w:tplc="475284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147C1"/>
    <w:multiLevelType w:val="hybridMultilevel"/>
    <w:tmpl w:val="D7F0C7BE"/>
    <w:lvl w:ilvl="0" w:tplc="50A09C2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04275"/>
    <w:multiLevelType w:val="hybridMultilevel"/>
    <w:tmpl w:val="9B941632"/>
    <w:lvl w:ilvl="0" w:tplc="E056D716">
      <w:start w:val="1"/>
      <w:numFmt w:val="hebrew1"/>
      <w:lvlText w:val="(%1)"/>
      <w:lvlJc w:val="left"/>
      <w:pPr>
        <w:ind w:left="728" w:hanging="360"/>
      </w:pPr>
      <w:rPr>
        <w:rFonts w:hint="default"/>
      </w:rPr>
    </w:lvl>
    <w:lvl w:ilvl="1" w:tplc="04090011">
      <w:start w:val="1"/>
      <w:numFmt w:val="decimal"/>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 w15:restartNumberingAfterBreak="0">
    <w:nsid w:val="09C17381"/>
    <w:multiLevelType w:val="hybridMultilevel"/>
    <w:tmpl w:val="39B423F6"/>
    <w:lvl w:ilvl="0" w:tplc="B3822748">
      <w:start w:val="1"/>
      <w:numFmt w:val="decimal"/>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 w15:restartNumberingAfterBreak="0">
    <w:nsid w:val="169206F0"/>
    <w:multiLevelType w:val="hybridMultilevel"/>
    <w:tmpl w:val="9B941632"/>
    <w:lvl w:ilvl="0" w:tplc="E056D716">
      <w:start w:val="1"/>
      <w:numFmt w:val="hebrew1"/>
      <w:lvlText w:val="(%1)"/>
      <w:lvlJc w:val="left"/>
      <w:pPr>
        <w:ind w:left="728" w:hanging="360"/>
      </w:pPr>
      <w:rPr>
        <w:rFonts w:hint="default"/>
      </w:rPr>
    </w:lvl>
    <w:lvl w:ilvl="1" w:tplc="04090011">
      <w:start w:val="1"/>
      <w:numFmt w:val="decimal"/>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5" w15:restartNumberingAfterBreak="0">
    <w:nsid w:val="17D033C1"/>
    <w:multiLevelType w:val="multilevel"/>
    <w:tmpl w:val="7EC494EE"/>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535F83"/>
    <w:multiLevelType w:val="hybridMultilevel"/>
    <w:tmpl w:val="B882F186"/>
    <w:lvl w:ilvl="0" w:tplc="34B0D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B3A27"/>
    <w:multiLevelType w:val="hybridMultilevel"/>
    <w:tmpl w:val="4E6632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862851E6">
      <w:start w:val="1"/>
      <w:numFmt w:val="hebrew1"/>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5134BD"/>
    <w:multiLevelType w:val="hybridMultilevel"/>
    <w:tmpl w:val="2B60496A"/>
    <w:lvl w:ilvl="0" w:tplc="0D60583A">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2755F3C"/>
    <w:multiLevelType w:val="hybridMultilevel"/>
    <w:tmpl w:val="9B941632"/>
    <w:lvl w:ilvl="0" w:tplc="E056D716">
      <w:start w:val="1"/>
      <w:numFmt w:val="hebrew1"/>
      <w:lvlText w:val="(%1)"/>
      <w:lvlJc w:val="left"/>
      <w:pPr>
        <w:ind w:left="728" w:hanging="360"/>
      </w:pPr>
      <w:rPr>
        <w:rFonts w:hint="default"/>
      </w:rPr>
    </w:lvl>
    <w:lvl w:ilvl="1" w:tplc="04090011">
      <w:start w:val="1"/>
      <w:numFmt w:val="decimal"/>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0" w15:restartNumberingAfterBreak="0">
    <w:nsid w:val="3B1A1625"/>
    <w:multiLevelType w:val="hybridMultilevel"/>
    <w:tmpl w:val="99A86F12"/>
    <w:lvl w:ilvl="0" w:tplc="E056D716">
      <w:start w:val="1"/>
      <w:numFmt w:val="hebrew1"/>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1" w15:restartNumberingAfterBreak="0">
    <w:nsid w:val="490D45F5"/>
    <w:multiLevelType w:val="hybridMultilevel"/>
    <w:tmpl w:val="B882F186"/>
    <w:lvl w:ilvl="0" w:tplc="34B0D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DA7F05"/>
    <w:multiLevelType w:val="hybridMultilevel"/>
    <w:tmpl w:val="39B423F6"/>
    <w:lvl w:ilvl="0" w:tplc="B3822748">
      <w:start w:val="1"/>
      <w:numFmt w:val="decimal"/>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3" w15:restartNumberingAfterBreak="0">
    <w:nsid w:val="54CF5D32"/>
    <w:multiLevelType w:val="hybridMultilevel"/>
    <w:tmpl w:val="EC0AED28"/>
    <w:lvl w:ilvl="0" w:tplc="DE6E9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C2C88"/>
    <w:multiLevelType w:val="hybridMultilevel"/>
    <w:tmpl w:val="47A85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12F13"/>
    <w:multiLevelType w:val="hybridMultilevel"/>
    <w:tmpl w:val="36108498"/>
    <w:lvl w:ilvl="0" w:tplc="89AC0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63B28"/>
    <w:multiLevelType w:val="hybridMultilevel"/>
    <w:tmpl w:val="6FA6CB94"/>
    <w:lvl w:ilvl="0" w:tplc="E056D716">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862851E6">
      <w:start w:val="1"/>
      <w:numFmt w:val="hebrew1"/>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B30F30"/>
    <w:multiLevelType w:val="hybridMultilevel"/>
    <w:tmpl w:val="27427E84"/>
    <w:lvl w:ilvl="0" w:tplc="C17C6402">
      <w:start w:val="1"/>
      <w:numFmt w:val="hebrew1"/>
      <w:lvlText w:val="(%1)"/>
      <w:lvlJc w:val="left"/>
      <w:pPr>
        <w:ind w:left="737" w:hanging="360"/>
      </w:pPr>
      <w:rPr>
        <w:rFonts w:ascii="David" w:hAnsi="David" w:cs="Times New Roman" w:hint="cs"/>
      </w:rPr>
    </w:lvl>
    <w:lvl w:ilvl="1" w:tplc="04090019">
      <w:start w:val="1"/>
      <w:numFmt w:val="lowerLetter"/>
      <w:lvlText w:val="%2."/>
      <w:lvlJc w:val="left"/>
      <w:pPr>
        <w:ind w:left="1457" w:hanging="360"/>
      </w:pPr>
    </w:lvl>
    <w:lvl w:ilvl="2" w:tplc="0409001B">
      <w:start w:val="1"/>
      <w:numFmt w:val="lowerRoman"/>
      <w:lvlText w:val="%3."/>
      <w:lvlJc w:val="right"/>
      <w:pPr>
        <w:ind w:left="2177" w:hanging="180"/>
      </w:pPr>
    </w:lvl>
    <w:lvl w:ilvl="3" w:tplc="0409000F">
      <w:start w:val="1"/>
      <w:numFmt w:val="decimal"/>
      <w:lvlText w:val="%4."/>
      <w:lvlJc w:val="left"/>
      <w:pPr>
        <w:ind w:left="2897" w:hanging="360"/>
      </w:pPr>
    </w:lvl>
    <w:lvl w:ilvl="4" w:tplc="04090019">
      <w:start w:val="1"/>
      <w:numFmt w:val="lowerLetter"/>
      <w:lvlText w:val="%5."/>
      <w:lvlJc w:val="left"/>
      <w:pPr>
        <w:ind w:left="3617" w:hanging="360"/>
      </w:pPr>
    </w:lvl>
    <w:lvl w:ilvl="5" w:tplc="0409001B">
      <w:start w:val="1"/>
      <w:numFmt w:val="lowerRoman"/>
      <w:lvlText w:val="%6."/>
      <w:lvlJc w:val="right"/>
      <w:pPr>
        <w:ind w:left="4337" w:hanging="180"/>
      </w:pPr>
    </w:lvl>
    <w:lvl w:ilvl="6" w:tplc="0409000F">
      <w:start w:val="1"/>
      <w:numFmt w:val="decimal"/>
      <w:lvlText w:val="%7."/>
      <w:lvlJc w:val="left"/>
      <w:pPr>
        <w:ind w:left="5057" w:hanging="360"/>
      </w:pPr>
    </w:lvl>
    <w:lvl w:ilvl="7" w:tplc="04090019">
      <w:start w:val="1"/>
      <w:numFmt w:val="lowerLetter"/>
      <w:lvlText w:val="%8."/>
      <w:lvlJc w:val="left"/>
      <w:pPr>
        <w:ind w:left="5777" w:hanging="360"/>
      </w:pPr>
    </w:lvl>
    <w:lvl w:ilvl="8" w:tplc="0409001B">
      <w:start w:val="1"/>
      <w:numFmt w:val="lowerRoman"/>
      <w:lvlText w:val="%9."/>
      <w:lvlJc w:val="right"/>
      <w:pPr>
        <w:ind w:left="649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12"/>
  </w:num>
  <w:num w:numId="7">
    <w:abstractNumId w:val="14"/>
  </w:num>
  <w:num w:numId="8">
    <w:abstractNumId w:val="7"/>
  </w:num>
  <w:num w:numId="9">
    <w:abstractNumId w:val="15"/>
  </w:num>
  <w:num w:numId="10">
    <w:abstractNumId w:val="11"/>
  </w:num>
  <w:num w:numId="11">
    <w:abstractNumId w:val="0"/>
  </w:num>
  <w:num w:numId="12">
    <w:abstractNumId w:val="2"/>
  </w:num>
  <w:num w:numId="13">
    <w:abstractNumId w:val="13"/>
  </w:num>
  <w:num w:numId="14">
    <w:abstractNumId w:val="5"/>
  </w:num>
  <w:num w:numId="15">
    <w:abstractNumId w:val="4"/>
  </w:num>
  <w:num w:numId="16">
    <w:abstractNumId w:val="9"/>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140552f4-648b-420f-85d5-e4b5818aca30"/>
  </w:docVars>
  <w:rsids>
    <w:rsidRoot w:val="005135BB"/>
    <w:rsid w:val="00002AE9"/>
    <w:rsid w:val="00010769"/>
    <w:rsid w:val="00014425"/>
    <w:rsid w:val="00016A49"/>
    <w:rsid w:val="00025C46"/>
    <w:rsid w:val="000309BF"/>
    <w:rsid w:val="00034DC6"/>
    <w:rsid w:val="00044488"/>
    <w:rsid w:val="0005172F"/>
    <w:rsid w:val="00067C03"/>
    <w:rsid w:val="00071390"/>
    <w:rsid w:val="00073899"/>
    <w:rsid w:val="00077E46"/>
    <w:rsid w:val="00086E25"/>
    <w:rsid w:val="00090667"/>
    <w:rsid w:val="000A1034"/>
    <w:rsid w:val="000B1EC7"/>
    <w:rsid w:val="000D54DC"/>
    <w:rsid w:val="000E1C92"/>
    <w:rsid w:val="000E23A4"/>
    <w:rsid w:val="000E36F6"/>
    <w:rsid w:val="000E4D96"/>
    <w:rsid w:val="000E61F9"/>
    <w:rsid w:val="000E7E20"/>
    <w:rsid w:val="000F3238"/>
    <w:rsid w:val="0011603B"/>
    <w:rsid w:val="00124AE1"/>
    <w:rsid w:val="00125B69"/>
    <w:rsid w:val="0012638E"/>
    <w:rsid w:val="001471CE"/>
    <w:rsid w:val="00160BBF"/>
    <w:rsid w:val="001628F6"/>
    <w:rsid w:val="00162DB5"/>
    <w:rsid w:val="00177BC9"/>
    <w:rsid w:val="001812C8"/>
    <w:rsid w:val="00184EB9"/>
    <w:rsid w:val="00186B1C"/>
    <w:rsid w:val="001878B2"/>
    <w:rsid w:val="00190CF0"/>
    <w:rsid w:val="00191ACC"/>
    <w:rsid w:val="001926F8"/>
    <w:rsid w:val="001A2263"/>
    <w:rsid w:val="001B2972"/>
    <w:rsid w:val="001E1A0D"/>
    <w:rsid w:val="001E34CB"/>
    <w:rsid w:val="001E428B"/>
    <w:rsid w:val="001F62E4"/>
    <w:rsid w:val="001F718C"/>
    <w:rsid w:val="002039DA"/>
    <w:rsid w:val="002046A5"/>
    <w:rsid w:val="002133A1"/>
    <w:rsid w:val="002142A2"/>
    <w:rsid w:val="00214E33"/>
    <w:rsid w:val="00216B2A"/>
    <w:rsid w:val="00221121"/>
    <w:rsid w:val="0022204F"/>
    <w:rsid w:val="00231C69"/>
    <w:rsid w:val="002462EF"/>
    <w:rsid w:val="00246C9F"/>
    <w:rsid w:val="00264761"/>
    <w:rsid w:val="002713AE"/>
    <w:rsid w:val="00277C80"/>
    <w:rsid w:val="0028083D"/>
    <w:rsid w:val="00290BE4"/>
    <w:rsid w:val="002A20FE"/>
    <w:rsid w:val="002A2E77"/>
    <w:rsid w:val="002A3030"/>
    <w:rsid w:val="002A686D"/>
    <w:rsid w:val="002B264F"/>
    <w:rsid w:val="002B4128"/>
    <w:rsid w:val="002B638D"/>
    <w:rsid w:val="002C0D18"/>
    <w:rsid w:val="002C1621"/>
    <w:rsid w:val="002C3C9C"/>
    <w:rsid w:val="002C7564"/>
    <w:rsid w:val="002D0600"/>
    <w:rsid w:val="002D63FF"/>
    <w:rsid w:val="002E77CB"/>
    <w:rsid w:val="002F5F5B"/>
    <w:rsid w:val="0030046E"/>
    <w:rsid w:val="00300EA6"/>
    <w:rsid w:val="0030687E"/>
    <w:rsid w:val="003110C1"/>
    <w:rsid w:val="00315A83"/>
    <w:rsid w:val="00321F15"/>
    <w:rsid w:val="003377DF"/>
    <w:rsid w:val="003464E9"/>
    <w:rsid w:val="003545F5"/>
    <w:rsid w:val="003579F1"/>
    <w:rsid w:val="003601D2"/>
    <w:rsid w:val="00361727"/>
    <w:rsid w:val="00361F5F"/>
    <w:rsid w:val="00376D5B"/>
    <w:rsid w:val="00395277"/>
    <w:rsid w:val="00397DF6"/>
    <w:rsid w:val="003A3F2D"/>
    <w:rsid w:val="003A5067"/>
    <w:rsid w:val="003A626F"/>
    <w:rsid w:val="003A69EC"/>
    <w:rsid w:val="003B3D18"/>
    <w:rsid w:val="003B69B7"/>
    <w:rsid w:val="003E5CB9"/>
    <w:rsid w:val="004031C8"/>
    <w:rsid w:val="00410E10"/>
    <w:rsid w:val="00416FBB"/>
    <w:rsid w:val="00425DBD"/>
    <w:rsid w:val="00441AFD"/>
    <w:rsid w:val="0045252C"/>
    <w:rsid w:val="00456668"/>
    <w:rsid w:val="00470520"/>
    <w:rsid w:val="00474F82"/>
    <w:rsid w:val="004B27A1"/>
    <w:rsid w:val="004B6DCF"/>
    <w:rsid w:val="004C37BA"/>
    <w:rsid w:val="004D77F1"/>
    <w:rsid w:val="004E31ED"/>
    <w:rsid w:val="004E3AAF"/>
    <w:rsid w:val="004F5764"/>
    <w:rsid w:val="004F628B"/>
    <w:rsid w:val="004F716D"/>
    <w:rsid w:val="00504F07"/>
    <w:rsid w:val="00506FB0"/>
    <w:rsid w:val="00507E66"/>
    <w:rsid w:val="005135BB"/>
    <w:rsid w:val="00516741"/>
    <w:rsid w:val="005313C0"/>
    <w:rsid w:val="0053320F"/>
    <w:rsid w:val="005347BD"/>
    <w:rsid w:val="005378A8"/>
    <w:rsid w:val="00545862"/>
    <w:rsid w:val="00570986"/>
    <w:rsid w:val="00580178"/>
    <w:rsid w:val="0058462F"/>
    <w:rsid w:val="00585630"/>
    <w:rsid w:val="005919C8"/>
    <w:rsid w:val="005A1B1E"/>
    <w:rsid w:val="005A782D"/>
    <w:rsid w:val="005A7F05"/>
    <w:rsid w:val="005B0F42"/>
    <w:rsid w:val="005B1506"/>
    <w:rsid w:val="005B38E3"/>
    <w:rsid w:val="005B6048"/>
    <w:rsid w:val="005C42DB"/>
    <w:rsid w:val="005C4400"/>
    <w:rsid w:val="005C4CE4"/>
    <w:rsid w:val="005E4106"/>
    <w:rsid w:val="005E47A3"/>
    <w:rsid w:val="00600F18"/>
    <w:rsid w:val="0060136C"/>
    <w:rsid w:val="00604DB5"/>
    <w:rsid w:val="006122A0"/>
    <w:rsid w:val="0063159D"/>
    <w:rsid w:val="0064248B"/>
    <w:rsid w:val="00643E14"/>
    <w:rsid w:val="006474F6"/>
    <w:rsid w:val="00660878"/>
    <w:rsid w:val="0068295C"/>
    <w:rsid w:val="00684230"/>
    <w:rsid w:val="006851E6"/>
    <w:rsid w:val="006C010B"/>
    <w:rsid w:val="006C3628"/>
    <w:rsid w:val="006C72D3"/>
    <w:rsid w:val="006D7595"/>
    <w:rsid w:val="006E0C41"/>
    <w:rsid w:val="006E1A18"/>
    <w:rsid w:val="006F111A"/>
    <w:rsid w:val="00725784"/>
    <w:rsid w:val="00725C09"/>
    <w:rsid w:val="00730FFC"/>
    <w:rsid w:val="00740691"/>
    <w:rsid w:val="007512E2"/>
    <w:rsid w:val="00760897"/>
    <w:rsid w:val="007640BF"/>
    <w:rsid w:val="00774511"/>
    <w:rsid w:val="00776E86"/>
    <w:rsid w:val="00777133"/>
    <w:rsid w:val="00780383"/>
    <w:rsid w:val="00780E56"/>
    <w:rsid w:val="00781540"/>
    <w:rsid w:val="007A7DC5"/>
    <w:rsid w:val="007C11B1"/>
    <w:rsid w:val="007C3B46"/>
    <w:rsid w:val="007D0F2C"/>
    <w:rsid w:val="007D40D7"/>
    <w:rsid w:val="0080221A"/>
    <w:rsid w:val="008073B8"/>
    <w:rsid w:val="00815F3F"/>
    <w:rsid w:val="00817262"/>
    <w:rsid w:val="008244F4"/>
    <w:rsid w:val="00825AD7"/>
    <w:rsid w:val="00834540"/>
    <w:rsid w:val="00861AB3"/>
    <w:rsid w:val="0086221E"/>
    <w:rsid w:val="00881422"/>
    <w:rsid w:val="00895C0B"/>
    <w:rsid w:val="008A078E"/>
    <w:rsid w:val="008A4B36"/>
    <w:rsid w:val="008B5118"/>
    <w:rsid w:val="008E0FC9"/>
    <w:rsid w:val="008E21FF"/>
    <w:rsid w:val="008E47DA"/>
    <w:rsid w:val="008F6A2C"/>
    <w:rsid w:val="00922401"/>
    <w:rsid w:val="00926F18"/>
    <w:rsid w:val="00927D7E"/>
    <w:rsid w:val="00945DD1"/>
    <w:rsid w:val="009520D1"/>
    <w:rsid w:val="00953AA3"/>
    <w:rsid w:val="0095438B"/>
    <w:rsid w:val="00973A5D"/>
    <w:rsid w:val="009772EA"/>
    <w:rsid w:val="00977559"/>
    <w:rsid w:val="009811F8"/>
    <w:rsid w:val="00981A49"/>
    <w:rsid w:val="009932F7"/>
    <w:rsid w:val="009A03DA"/>
    <w:rsid w:val="009C0B60"/>
    <w:rsid w:val="009C1E9A"/>
    <w:rsid w:val="009D469E"/>
    <w:rsid w:val="009D68A0"/>
    <w:rsid w:val="009E6276"/>
    <w:rsid w:val="009E6EDE"/>
    <w:rsid w:val="009F33A9"/>
    <w:rsid w:val="00A0406F"/>
    <w:rsid w:val="00A04B2C"/>
    <w:rsid w:val="00A0560C"/>
    <w:rsid w:val="00A16F4A"/>
    <w:rsid w:val="00A2609D"/>
    <w:rsid w:val="00A27698"/>
    <w:rsid w:val="00A300E8"/>
    <w:rsid w:val="00A40448"/>
    <w:rsid w:val="00A41FAE"/>
    <w:rsid w:val="00A45323"/>
    <w:rsid w:val="00A630D8"/>
    <w:rsid w:val="00A63F37"/>
    <w:rsid w:val="00A739FC"/>
    <w:rsid w:val="00A75196"/>
    <w:rsid w:val="00A94D1F"/>
    <w:rsid w:val="00AB3401"/>
    <w:rsid w:val="00AB4110"/>
    <w:rsid w:val="00AB76FB"/>
    <w:rsid w:val="00AC0971"/>
    <w:rsid w:val="00AC5372"/>
    <w:rsid w:val="00AD08A3"/>
    <w:rsid w:val="00AD28C5"/>
    <w:rsid w:val="00AD3F6F"/>
    <w:rsid w:val="00AE335F"/>
    <w:rsid w:val="00AE54F7"/>
    <w:rsid w:val="00AE66D5"/>
    <w:rsid w:val="00AE6A5F"/>
    <w:rsid w:val="00AF2892"/>
    <w:rsid w:val="00AF2FE0"/>
    <w:rsid w:val="00AF72F8"/>
    <w:rsid w:val="00B05139"/>
    <w:rsid w:val="00B051B3"/>
    <w:rsid w:val="00B16DFE"/>
    <w:rsid w:val="00B223AE"/>
    <w:rsid w:val="00B41769"/>
    <w:rsid w:val="00B42FA8"/>
    <w:rsid w:val="00B507E5"/>
    <w:rsid w:val="00B52F6F"/>
    <w:rsid w:val="00B66B56"/>
    <w:rsid w:val="00B66BAB"/>
    <w:rsid w:val="00B7056C"/>
    <w:rsid w:val="00B707C3"/>
    <w:rsid w:val="00B70E8E"/>
    <w:rsid w:val="00B9006A"/>
    <w:rsid w:val="00B91FDA"/>
    <w:rsid w:val="00B9547B"/>
    <w:rsid w:val="00BA0630"/>
    <w:rsid w:val="00BA4875"/>
    <w:rsid w:val="00BA6CAA"/>
    <w:rsid w:val="00BD3119"/>
    <w:rsid w:val="00BE6068"/>
    <w:rsid w:val="00BF4639"/>
    <w:rsid w:val="00BF6E38"/>
    <w:rsid w:val="00C063EC"/>
    <w:rsid w:val="00C11953"/>
    <w:rsid w:val="00C1778D"/>
    <w:rsid w:val="00C32A19"/>
    <w:rsid w:val="00C4228B"/>
    <w:rsid w:val="00C45B67"/>
    <w:rsid w:val="00C45E44"/>
    <w:rsid w:val="00C535B4"/>
    <w:rsid w:val="00C57B47"/>
    <w:rsid w:val="00C61C3F"/>
    <w:rsid w:val="00C75D8D"/>
    <w:rsid w:val="00C81541"/>
    <w:rsid w:val="00C84B3E"/>
    <w:rsid w:val="00C87EBE"/>
    <w:rsid w:val="00CB1D9E"/>
    <w:rsid w:val="00CC2DB5"/>
    <w:rsid w:val="00CC4918"/>
    <w:rsid w:val="00CC70A9"/>
    <w:rsid w:val="00CC735F"/>
    <w:rsid w:val="00CF0FD4"/>
    <w:rsid w:val="00D02E4B"/>
    <w:rsid w:val="00D041C0"/>
    <w:rsid w:val="00D05415"/>
    <w:rsid w:val="00D06DD2"/>
    <w:rsid w:val="00D2719A"/>
    <w:rsid w:val="00D3405F"/>
    <w:rsid w:val="00D422CF"/>
    <w:rsid w:val="00D4287E"/>
    <w:rsid w:val="00D438A9"/>
    <w:rsid w:val="00D51055"/>
    <w:rsid w:val="00D773DC"/>
    <w:rsid w:val="00D94C17"/>
    <w:rsid w:val="00D97DBA"/>
    <w:rsid w:val="00DA51F4"/>
    <w:rsid w:val="00DB4750"/>
    <w:rsid w:val="00DB57E4"/>
    <w:rsid w:val="00DC0B87"/>
    <w:rsid w:val="00DC31E3"/>
    <w:rsid w:val="00DD3CB6"/>
    <w:rsid w:val="00DD4DCB"/>
    <w:rsid w:val="00DD69DF"/>
    <w:rsid w:val="00DE1292"/>
    <w:rsid w:val="00DE470E"/>
    <w:rsid w:val="00DF2A48"/>
    <w:rsid w:val="00DF3DFB"/>
    <w:rsid w:val="00E012AF"/>
    <w:rsid w:val="00E10AF9"/>
    <w:rsid w:val="00E21238"/>
    <w:rsid w:val="00E23FF0"/>
    <w:rsid w:val="00E25288"/>
    <w:rsid w:val="00E25A49"/>
    <w:rsid w:val="00E260A1"/>
    <w:rsid w:val="00E27EAB"/>
    <w:rsid w:val="00E34FAA"/>
    <w:rsid w:val="00E46D48"/>
    <w:rsid w:val="00E47E2A"/>
    <w:rsid w:val="00E52DF7"/>
    <w:rsid w:val="00E77453"/>
    <w:rsid w:val="00E926E2"/>
    <w:rsid w:val="00EA06E0"/>
    <w:rsid w:val="00EA2953"/>
    <w:rsid w:val="00EA3768"/>
    <w:rsid w:val="00EA515D"/>
    <w:rsid w:val="00EA6A73"/>
    <w:rsid w:val="00EC0BA0"/>
    <w:rsid w:val="00EC5A78"/>
    <w:rsid w:val="00EE40A0"/>
    <w:rsid w:val="00EE6A88"/>
    <w:rsid w:val="00EF15AD"/>
    <w:rsid w:val="00EF2C8A"/>
    <w:rsid w:val="00EF7019"/>
    <w:rsid w:val="00F01CB6"/>
    <w:rsid w:val="00F12A80"/>
    <w:rsid w:val="00F20E47"/>
    <w:rsid w:val="00F2248F"/>
    <w:rsid w:val="00F22E1A"/>
    <w:rsid w:val="00F25722"/>
    <w:rsid w:val="00F44D4E"/>
    <w:rsid w:val="00F51812"/>
    <w:rsid w:val="00F541B2"/>
    <w:rsid w:val="00F54327"/>
    <w:rsid w:val="00F60EF2"/>
    <w:rsid w:val="00F66765"/>
    <w:rsid w:val="00F67D54"/>
    <w:rsid w:val="00F769B1"/>
    <w:rsid w:val="00F95171"/>
    <w:rsid w:val="00F9785F"/>
    <w:rsid w:val="00FA5396"/>
    <w:rsid w:val="00FA55EF"/>
    <w:rsid w:val="00FB0FB6"/>
    <w:rsid w:val="00FD6020"/>
    <w:rsid w:val="6BEA22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E5BE43"/>
  <w15:docId w15:val="{67289CFF-0AB2-4210-AB3A-B575D0AE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avid Normal"/>
    <w:qFormat/>
    <w:rsid w:val="005135BB"/>
    <w:pPr>
      <w:bidi/>
      <w:spacing w:after="0" w:line="240" w:lineRule="auto"/>
    </w:pPr>
    <w:rPr>
      <w:rFonts w:ascii="David" w:eastAsia="Times New Roman" w:hAnsi="David" w:cs="David"/>
      <w:sz w:val="24"/>
      <w:szCs w:val="24"/>
    </w:rPr>
  </w:style>
  <w:style w:type="paragraph" w:styleId="2">
    <w:name w:val="heading 2"/>
    <w:basedOn w:val="a"/>
    <w:next w:val="a"/>
    <w:link w:val="20"/>
    <w:unhideWhenUsed/>
    <w:qFormat/>
    <w:rsid w:val="005135BB"/>
    <w:pPr>
      <w:keepNext/>
      <w:keepLines/>
      <w:spacing w:before="200"/>
      <w:outlineLvl w:val="1"/>
    </w:pPr>
    <w:rPr>
      <w:rFonts w:asciiTheme="majorHAnsi" w:eastAsiaTheme="majorEastAsia" w:hAnsiTheme="majorHAnsi" w:cstheme="majorBidi"/>
      <w:b/>
      <w:bCs/>
      <w:color w:val="4F81BD" w:themeColor="accent1"/>
      <w:sz w:val="26"/>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5135BB"/>
    <w:rPr>
      <w:rFonts w:asciiTheme="majorHAnsi" w:eastAsiaTheme="majorEastAsia" w:hAnsiTheme="majorHAnsi" w:cstheme="majorBidi"/>
      <w:b/>
      <w:bCs/>
      <w:color w:val="4F81BD" w:themeColor="accent1"/>
      <w:sz w:val="26"/>
      <w:szCs w:val="26"/>
      <w:lang w:eastAsia="he-IL"/>
    </w:rPr>
  </w:style>
  <w:style w:type="character" w:styleId="a3">
    <w:name w:val="Emphasis"/>
    <w:aliases w:val="FFF,FEN 11,Fen"/>
    <w:basedOn w:val="a0"/>
    <w:qFormat/>
    <w:rsid w:val="005135BB"/>
    <w:rPr>
      <w:rFonts w:ascii="David" w:hAnsi="David" w:cs="David"/>
      <w:sz w:val="24"/>
      <w:szCs w:val="24"/>
      <w:u w:val="none"/>
    </w:rPr>
  </w:style>
  <w:style w:type="paragraph" w:customStyle="1" w:styleId="FEN">
    <w:name w:val="FEN"/>
    <w:basedOn w:val="a"/>
    <w:link w:val="FENChar"/>
    <w:qFormat/>
    <w:rsid w:val="005135BB"/>
    <w:rPr>
      <w:rFonts w:ascii="Times New Roman" w:hAnsi="Times New Roman"/>
      <w:b/>
      <w:lang w:eastAsia="he-IL"/>
    </w:rPr>
  </w:style>
  <w:style w:type="character" w:customStyle="1" w:styleId="FENChar">
    <w:name w:val="FEN Char"/>
    <w:basedOn w:val="a0"/>
    <w:link w:val="FEN"/>
    <w:rsid w:val="005135BB"/>
    <w:rPr>
      <w:rFonts w:ascii="Times New Roman" w:eastAsia="Times New Roman" w:hAnsi="Times New Roman" w:cs="David"/>
      <w:b/>
      <w:sz w:val="24"/>
      <w:szCs w:val="24"/>
      <w:lang w:eastAsia="he-IL"/>
    </w:rPr>
  </w:style>
  <w:style w:type="paragraph" w:styleId="a4">
    <w:name w:val="header"/>
    <w:basedOn w:val="a"/>
    <w:link w:val="a5"/>
    <w:uiPriority w:val="99"/>
    <w:unhideWhenUsed/>
    <w:rsid w:val="00A41FAE"/>
    <w:pPr>
      <w:tabs>
        <w:tab w:val="center" w:pos="4153"/>
        <w:tab w:val="right" w:pos="8306"/>
      </w:tabs>
    </w:pPr>
  </w:style>
  <w:style w:type="character" w:customStyle="1" w:styleId="a5">
    <w:name w:val="כותרת עליונה תו"/>
    <w:basedOn w:val="a0"/>
    <w:link w:val="a4"/>
    <w:uiPriority w:val="99"/>
    <w:rsid w:val="00A41FAE"/>
    <w:rPr>
      <w:rFonts w:ascii="David" w:eastAsia="Times New Roman" w:hAnsi="David" w:cs="David"/>
      <w:sz w:val="24"/>
      <w:szCs w:val="24"/>
    </w:rPr>
  </w:style>
  <w:style w:type="paragraph" w:styleId="a6">
    <w:name w:val="footer"/>
    <w:basedOn w:val="a"/>
    <w:link w:val="a7"/>
    <w:uiPriority w:val="99"/>
    <w:unhideWhenUsed/>
    <w:rsid w:val="00A41FAE"/>
    <w:pPr>
      <w:tabs>
        <w:tab w:val="center" w:pos="4153"/>
        <w:tab w:val="right" w:pos="8306"/>
      </w:tabs>
    </w:pPr>
  </w:style>
  <w:style w:type="character" w:customStyle="1" w:styleId="a7">
    <w:name w:val="כותרת תחתונה תו"/>
    <w:basedOn w:val="a0"/>
    <w:link w:val="a6"/>
    <w:uiPriority w:val="99"/>
    <w:rsid w:val="00A41FAE"/>
    <w:rPr>
      <w:rFonts w:ascii="David" w:eastAsia="Times New Roman" w:hAnsi="David" w:cs="David"/>
      <w:sz w:val="24"/>
      <w:szCs w:val="24"/>
    </w:rPr>
  </w:style>
  <w:style w:type="paragraph" w:styleId="a8">
    <w:name w:val="Balloon Text"/>
    <w:basedOn w:val="a"/>
    <w:link w:val="a9"/>
    <w:uiPriority w:val="99"/>
    <w:semiHidden/>
    <w:unhideWhenUsed/>
    <w:rsid w:val="00A41FAE"/>
    <w:rPr>
      <w:rFonts w:ascii="Tahoma" w:hAnsi="Tahoma" w:cs="Tahoma"/>
      <w:sz w:val="16"/>
      <w:szCs w:val="16"/>
    </w:rPr>
  </w:style>
  <w:style w:type="character" w:customStyle="1" w:styleId="a9">
    <w:name w:val="טקסט בלונים תו"/>
    <w:basedOn w:val="a0"/>
    <w:link w:val="a8"/>
    <w:uiPriority w:val="99"/>
    <w:semiHidden/>
    <w:rsid w:val="00A41FAE"/>
    <w:rPr>
      <w:rFonts w:ascii="Tahoma" w:eastAsia="Times New Roman" w:hAnsi="Tahoma" w:cs="Tahoma"/>
      <w:sz w:val="16"/>
      <w:szCs w:val="16"/>
    </w:rPr>
  </w:style>
  <w:style w:type="paragraph" w:styleId="aa">
    <w:name w:val="List Paragraph"/>
    <w:basedOn w:val="a"/>
    <w:uiPriority w:val="34"/>
    <w:qFormat/>
    <w:rsid w:val="009E6276"/>
    <w:pPr>
      <w:ind w:left="720"/>
      <w:contextualSpacing/>
    </w:pPr>
  </w:style>
  <w:style w:type="paragraph" w:styleId="ab">
    <w:name w:val="footnote text"/>
    <w:basedOn w:val="a"/>
    <w:link w:val="ac"/>
    <w:semiHidden/>
    <w:unhideWhenUsed/>
    <w:rsid w:val="00395277"/>
    <w:rPr>
      <w:sz w:val="20"/>
      <w:szCs w:val="20"/>
    </w:rPr>
  </w:style>
  <w:style w:type="character" w:customStyle="1" w:styleId="ac">
    <w:name w:val="טקסט הערת שוליים תו"/>
    <w:basedOn w:val="a0"/>
    <w:link w:val="ab"/>
    <w:semiHidden/>
    <w:rsid w:val="00395277"/>
    <w:rPr>
      <w:rFonts w:ascii="David" w:eastAsia="Times New Roman" w:hAnsi="David" w:cs="David"/>
      <w:sz w:val="20"/>
      <w:szCs w:val="20"/>
    </w:rPr>
  </w:style>
  <w:style w:type="character" w:styleId="ad">
    <w:name w:val="footnote reference"/>
    <w:basedOn w:val="a0"/>
    <w:semiHidden/>
    <w:unhideWhenUsed/>
    <w:rsid w:val="00395277"/>
    <w:rPr>
      <w:vertAlign w:val="superscript"/>
    </w:rPr>
  </w:style>
  <w:style w:type="character" w:styleId="ae">
    <w:name w:val="annotation reference"/>
    <w:basedOn w:val="a0"/>
    <w:uiPriority w:val="99"/>
    <w:semiHidden/>
    <w:unhideWhenUsed/>
    <w:rsid w:val="00216B2A"/>
    <w:rPr>
      <w:sz w:val="16"/>
      <w:szCs w:val="16"/>
    </w:rPr>
  </w:style>
  <w:style w:type="paragraph" w:styleId="af">
    <w:name w:val="annotation text"/>
    <w:basedOn w:val="a"/>
    <w:link w:val="af0"/>
    <w:uiPriority w:val="99"/>
    <w:semiHidden/>
    <w:unhideWhenUsed/>
    <w:rsid w:val="00216B2A"/>
    <w:rPr>
      <w:sz w:val="20"/>
      <w:szCs w:val="20"/>
    </w:rPr>
  </w:style>
  <w:style w:type="character" w:customStyle="1" w:styleId="af0">
    <w:name w:val="טקסט הערה תו"/>
    <w:basedOn w:val="a0"/>
    <w:link w:val="af"/>
    <w:uiPriority w:val="99"/>
    <w:semiHidden/>
    <w:rsid w:val="00216B2A"/>
    <w:rPr>
      <w:rFonts w:ascii="David" w:eastAsia="Times New Roman" w:hAnsi="David" w:cs="David"/>
      <w:sz w:val="20"/>
      <w:szCs w:val="20"/>
    </w:rPr>
  </w:style>
  <w:style w:type="paragraph" w:styleId="af1">
    <w:name w:val="annotation subject"/>
    <w:basedOn w:val="af"/>
    <w:next w:val="af"/>
    <w:link w:val="af2"/>
    <w:uiPriority w:val="99"/>
    <w:semiHidden/>
    <w:unhideWhenUsed/>
    <w:rsid w:val="00216B2A"/>
    <w:rPr>
      <w:b/>
      <w:bCs/>
    </w:rPr>
  </w:style>
  <w:style w:type="character" w:customStyle="1" w:styleId="af2">
    <w:name w:val="נושא הערה תו"/>
    <w:basedOn w:val="af0"/>
    <w:link w:val="af1"/>
    <w:uiPriority w:val="99"/>
    <w:semiHidden/>
    <w:rsid w:val="00216B2A"/>
    <w:rPr>
      <w:rFonts w:ascii="David" w:eastAsia="Times New Roman" w:hAnsi="David" w:cs="David"/>
      <w:b/>
      <w:bCs/>
      <w:sz w:val="20"/>
      <w:szCs w:val="20"/>
    </w:rPr>
  </w:style>
  <w:style w:type="paragraph" w:styleId="af3">
    <w:name w:val="Revision"/>
    <w:hidden/>
    <w:uiPriority w:val="99"/>
    <w:semiHidden/>
    <w:rsid w:val="00216B2A"/>
    <w:pPr>
      <w:spacing w:after="0" w:line="240" w:lineRule="auto"/>
    </w:pPr>
    <w:rPr>
      <w:rFonts w:ascii="David" w:eastAsia="Times New Roman" w:hAnsi="David" w:cs="David"/>
      <w:sz w:val="24"/>
      <w:szCs w:val="24"/>
    </w:rPr>
  </w:style>
  <w:style w:type="paragraph" w:customStyle="1" w:styleId="TableBlock">
    <w:name w:val="Table Block"/>
    <w:basedOn w:val="a"/>
    <w:rsid w:val="00BD3119"/>
    <w:pPr>
      <w:keepLines/>
      <w:widowControl w:val="0"/>
      <w:tabs>
        <w:tab w:val="left" w:pos="624"/>
        <w:tab w:val="left" w:pos="1247"/>
      </w:tabs>
      <w:snapToGrid w:val="0"/>
      <w:spacing w:line="360" w:lineRule="auto"/>
      <w:contextualSpacing/>
      <w:jc w:val="both"/>
    </w:pPr>
    <w:rPr>
      <w:rFonts w:ascii="Arial" w:eastAsia="Arial Unicode MS" w:hAnsi="Arial"/>
      <w:snapToGrid w:val="0"/>
      <w:sz w:val="20"/>
      <w:szCs w:val="26"/>
    </w:rPr>
  </w:style>
  <w:style w:type="table" w:styleId="af4">
    <w:name w:val="Table Grid"/>
    <w:basedOn w:val="a1"/>
    <w:uiPriority w:val="59"/>
    <w:rsid w:val="00EA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sber">
    <w:name w:val="Hesber"/>
    <w:basedOn w:val="a"/>
    <w:rsid w:val="009D469E"/>
    <w:pPr>
      <w:widowControl w:val="0"/>
      <w:autoSpaceDE w:val="0"/>
      <w:autoSpaceDN w:val="0"/>
      <w:adjustRightInd w:val="0"/>
      <w:snapToGrid w:val="0"/>
      <w:spacing w:line="360" w:lineRule="auto"/>
      <w:ind w:firstLine="340"/>
      <w:jc w:val="both"/>
      <w:textAlignment w:val="center"/>
    </w:pPr>
    <w:rPr>
      <w:rFonts w:ascii="Arial" w:eastAsia="Arial Unicode MS" w:hAnsi="Arial"/>
      <w:snapToGrid w:val="0"/>
      <w:color w:val="000000"/>
      <w:sz w:val="20"/>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461959">
      <w:bodyDiv w:val="1"/>
      <w:marLeft w:val="0"/>
      <w:marRight w:val="0"/>
      <w:marTop w:val="0"/>
      <w:marBottom w:val="0"/>
      <w:divBdr>
        <w:top w:val="none" w:sz="0" w:space="0" w:color="auto"/>
        <w:left w:val="none" w:sz="0" w:space="0" w:color="auto"/>
        <w:bottom w:val="none" w:sz="0" w:space="0" w:color="auto"/>
        <w:right w:val="none" w:sz="0" w:space="0" w:color="auto"/>
      </w:divBdr>
    </w:div>
    <w:div w:id="1116872818">
      <w:bodyDiv w:val="1"/>
      <w:marLeft w:val="0"/>
      <w:marRight w:val="0"/>
      <w:marTop w:val="0"/>
      <w:marBottom w:val="0"/>
      <w:divBdr>
        <w:top w:val="none" w:sz="0" w:space="0" w:color="auto"/>
        <w:left w:val="none" w:sz="0" w:space="0" w:color="auto"/>
        <w:bottom w:val="none" w:sz="0" w:space="0" w:color="auto"/>
        <w:right w:val="none" w:sz="0" w:space="0" w:color="auto"/>
      </w:divBdr>
    </w:div>
    <w:div w:id="12530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C148C-C720-46B8-92D2-FD958871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593A083C</Template>
  <TotalTime>1</TotalTime>
  <Pages>3</Pages>
  <Words>555</Words>
  <Characters>2778</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שרית דמרי דבוש</dc:creator>
  <cp:lastModifiedBy>גלעד גושר</cp:lastModifiedBy>
  <cp:revision>4</cp:revision>
  <cp:lastPrinted>2020-04-07T16:43:00Z</cp:lastPrinted>
  <dcterms:created xsi:type="dcterms:W3CDTF">2020-10-23T06:56:00Z</dcterms:created>
  <dcterms:modified xsi:type="dcterms:W3CDTF">2020-10-23T10:29:00Z</dcterms:modified>
</cp:coreProperties>
</file>