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57" w:rsidRPr="00244FDC" w:rsidRDefault="003D1A57" w:rsidP="003D1A57">
      <w:pPr>
        <w:ind w:left="6766"/>
        <w:jc w:val="left"/>
        <w:rPr>
          <w:rFonts w:cs="David"/>
          <w:sz w:val="24"/>
          <w:szCs w:val="24"/>
          <w:rtl/>
        </w:rPr>
      </w:pPr>
    </w:p>
    <w:p w:rsidR="00B616E8" w:rsidRDefault="00B616E8" w:rsidP="003D1A57">
      <w:pPr>
        <w:ind w:left="6803"/>
        <w:jc w:val="left"/>
        <w:rPr>
          <w:rFonts w:cs="David"/>
          <w:sz w:val="24"/>
          <w:szCs w:val="24"/>
          <w:rtl/>
        </w:rPr>
      </w:pPr>
      <w:bookmarkStart w:id="0" w:name="Adding02"/>
      <w:bookmarkEnd w:id="0"/>
      <w:r>
        <w:rPr>
          <w:rFonts w:cs="David"/>
          <w:sz w:val="24"/>
          <w:szCs w:val="24"/>
          <w:rtl/>
        </w:rPr>
        <w:t xml:space="preserve">י"ז באדר </w:t>
      </w:r>
      <w:proofErr w:type="spellStart"/>
      <w:r>
        <w:rPr>
          <w:rFonts w:cs="David"/>
          <w:sz w:val="24"/>
          <w:szCs w:val="24"/>
          <w:rtl/>
        </w:rPr>
        <w:t>התשע"ח</w:t>
      </w:r>
      <w:proofErr w:type="spellEnd"/>
      <w:r>
        <w:rPr>
          <w:rFonts w:cs="David"/>
          <w:sz w:val="24"/>
          <w:szCs w:val="24"/>
          <w:rtl/>
        </w:rPr>
        <w:br/>
        <w:t>4 במרץ 2018</w:t>
      </w:r>
    </w:p>
    <w:p w:rsidR="003D1A57" w:rsidRPr="00244FDC" w:rsidRDefault="003D1A57" w:rsidP="003D1A57">
      <w:pPr>
        <w:ind w:left="6803"/>
        <w:jc w:val="left"/>
        <w:rPr>
          <w:rFonts w:cs="David"/>
          <w:sz w:val="24"/>
          <w:szCs w:val="24"/>
          <w:rtl/>
        </w:rPr>
      </w:pPr>
    </w:p>
    <w:p w:rsidR="003D1A57" w:rsidRDefault="00B616E8" w:rsidP="00DE7D83">
      <w:pPr>
        <w:ind w:left="6803"/>
        <w:jc w:val="left"/>
        <w:rPr>
          <w:rFonts w:cs="David"/>
          <w:sz w:val="24"/>
          <w:szCs w:val="24"/>
          <w:rtl/>
        </w:rPr>
      </w:pPr>
      <w:bookmarkStart w:id="1" w:name="Adding06"/>
      <w:bookmarkEnd w:id="1"/>
      <w:r>
        <w:rPr>
          <w:rFonts w:cs="David"/>
          <w:sz w:val="24"/>
          <w:szCs w:val="24"/>
          <w:rtl/>
        </w:rPr>
        <w:t>חוזר גופים מוסדיים 2018-17</w:t>
      </w:r>
      <w:r>
        <w:rPr>
          <w:rFonts w:cs="David"/>
          <w:sz w:val="24"/>
          <w:szCs w:val="24"/>
          <w:rtl/>
        </w:rPr>
        <w:br/>
        <w:t>סיווג: כללי &lt;טיוטה&gt;</w:t>
      </w:r>
    </w:p>
    <w:p w:rsidR="00DE7D83" w:rsidRDefault="00DE7D83" w:rsidP="00DE7D83">
      <w:pPr>
        <w:ind w:left="6803"/>
        <w:jc w:val="left"/>
        <w:rPr>
          <w:rFonts w:cs="David"/>
          <w:sz w:val="24"/>
          <w:szCs w:val="24"/>
          <w:rtl/>
        </w:rPr>
      </w:pPr>
    </w:p>
    <w:p w:rsidR="003335D8" w:rsidRDefault="003335D8" w:rsidP="00DE7D83">
      <w:pPr>
        <w:ind w:left="6803"/>
        <w:jc w:val="left"/>
        <w:rPr>
          <w:rFonts w:cs="David"/>
          <w:sz w:val="24"/>
          <w:szCs w:val="24"/>
          <w:rtl/>
        </w:rPr>
      </w:pPr>
    </w:p>
    <w:p w:rsidR="003D1A57" w:rsidRPr="003335D8" w:rsidRDefault="00B616E8" w:rsidP="002661BF">
      <w:pPr>
        <w:pStyle w:val="1"/>
        <w:bidi w:val="0"/>
        <w:rPr>
          <w:sz w:val="24"/>
          <w:szCs w:val="24"/>
          <w:rtl/>
        </w:rPr>
      </w:pPr>
      <w:bookmarkStart w:id="2" w:name="About"/>
      <w:bookmarkEnd w:id="2"/>
      <w:r w:rsidRPr="003335D8">
        <w:rPr>
          <w:sz w:val="24"/>
          <w:szCs w:val="24"/>
          <w:rtl/>
        </w:rPr>
        <w:t xml:space="preserve">תיקון החוזר המאוחד: מעילות והונאות מצד גורמים בתוך הארגון וגורמים מחוץ לארגון </w:t>
      </w:r>
      <w:r w:rsidR="00DE7D83" w:rsidRPr="003335D8">
        <w:rPr>
          <w:sz w:val="24"/>
          <w:szCs w:val="24"/>
          <w:rtl/>
        </w:rPr>
        <w:t>–</w:t>
      </w:r>
      <w:r w:rsidRPr="003335D8">
        <w:rPr>
          <w:sz w:val="24"/>
          <w:szCs w:val="24"/>
          <w:rtl/>
        </w:rPr>
        <w:t xml:space="preserve"> טיוטה</w:t>
      </w:r>
    </w:p>
    <w:p w:rsidR="00DE7D83" w:rsidRDefault="00DE7D83" w:rsidP="00DE7D83">
      <w:pPr>
        <w:rPr>
          <w:rtl/>
        </w:rPr>
      </w:pPr>
    </w:p>
    <w:p w:rsidR="00DE7D83" w:rsidRPr="00DE7D83" w:rsidRDefault="00DE7D83" w:rsidP="00DE7D83">
      <w:pPr>
        <w:rPr>
          <w:rtl/>
        </w:rPr>
      </w:pPr>
    </w:p>
    <w:p w:rsidR="001522CB" w:rsidRPr="001522CB" w:rsidRDefault="001522CB" w:rsidP="001522CB">
      <w:pPr>
        <w:spacing w:line="360" w:lineRule="auto"/>
        <w:ind w:left="397"/>
        <w:rPr>
          <w:rFonts w:cs="David"/>
          <w:sz w:val="24"/>
          <w:szCs w:val="24"/>
          <w:rtl/>
        </w:rPr>
      </w:pPr>
      <w:bookmarkStart w:id="3" w:name="Start"/>
      <w:bookmarkEnd w:id="3"/>
      <w:r w:rsidRPr="001522CB">
        <w:rPr>
          <w:rFonts w:cs="David"/>
          <w:sz w:val="24"/>
          <w:szCs w:val="24"/>
          <w:rtl/>
        </w:rPr>
        <w:t>מתוקף סמכותי לפי סעיפים 2(ב) ו-42 לחוק הפיקוח על שירותים פיננסיים (ביטוח), התשמ"א-1981, סעיף 39(ב)(1) ו-40 לחוק הפיקוח על שירותים פיננסיים (קופות גמל), התשס"ה-2005 ותקנה 8(א)(20) לתקנות הפיקוח על שירותים פיננסיים (דירקטוריון וועדותיו), התשס"ז-2007 ולאחר התייעצות עם הוועדה המייעצת, להלן הוראותיי:</w:t>
      </w:r>
    </w:p>
    <w:p w:rsidR="001522CB" w:rsidRPr="001522CB" w:rsidRDefault="001522CB" w:rsidP="001522CB">
      <w:pPr>
        <w:spacing w:line="360" w:lineRule="auto"/>
        <w:ind w:left="397"/>
        <w:rPr>
          <w:rFonts w:cs="David"/>
          <w:sz w:val="24"/>
          <w:szCs w:val="24"/>
        </w:rPr>
      </w:pPr>
    </w:p>
    <w:p w:rsidR="001522CB" w:rsidRPr="001522CB" w:rsidRDefault="001522CB" w:rsidP="00242B4F">
      <w:pPr>
        <w:pStyle w:val="2"/>
        <w:numPr>
          <w:ilvl w:val="0"/>
          <w:numId w:val="19"/>
        </w:numPr>
        <w:spacing w:before="0" w:after="0"/>
        <w:rPr>
          <w:rtl/>
        </w:rPr>
      </w:pPr>
      <w:r w:rsidRPr="001522CB">
        <w:rPr>
          <w:rtl/>
        </w:rPr>
        <w:t>כללי</w:t>
      </w:r>
    </w:p>
    <w:p w:rsidR="001522CB" w:rsidRPr="001522CB" w:rsidRDefault="001522CB" w:rsidP="00B616E8">
      <w:pPr>
        <w:spacing w:line="360" w:lineRule="auto"/>
        <w:ind w:left="707"/>
        <w:rPr>
          <w:rFonts w:cs="David"/>
          <w:sz w:val="24"/>
          <w:szCs w:val="24"/>
          <w:rtl/>
        </w:rPr>
      </w:pPr>
      <w:r w:rsidRPr="001522CB">
        <w:rPr>
          <w:rFonts w:cs="David"/>
          <w:sz w:val="24"/>
          <w:szCs w:val="24"/>
          <w:rtl/>
        </w:rPr>
        <w:t>חוזר זה</w:t>
      </w:r>
      <w:r w:rsidRPr="001522CB">
        <w:rPr>
          <w:rFonts w:cs="David" w:hint="cs"/>
          <w:sz w:val="24"/>
          <w:szCs w:val="24"/>
          <w:rtl/>
        </w:rPr>
        <w:t xml:space="preserve"> נועד </w:t>
      </w:r>
      <w:r w:rsidRPr="001522CB">
        <w:rPr>
          <w:rFonts w:cs="David"/>
          <w:sz w:val="24"/>
          <w:szCs w:val="24"/>
          <w:rtl/>
        </w:rPr>
        <w:t>להטמיע את הוראות חוזר</w:t>
      </w:r>
      <w:r w:rsidRPr="001522CB">
        <w:rPr>
          <w:rFonts w:cs="David" w:hint="cs"/>
          <w:sz w:val="24"/>
          <w:szCs w:val="24"/>
          <w:rtl/>
        </w:rPr>
        <w:t xml:space="preserve"> גופים מוסדיים</w:t>
      </w:r>
      <w:r w:rsidRPr="001522CB">
        <w:rPr>
          <w:rFonts w:cs="David"/>
          <w:sz w:val="24"/>
          <w:szCs w:val="24"/>
          <w:rtl/>
        </w:rPr>
        <w:t xml:space="preserve"> </w:t>
      </w:r>
      <w:r w:rsidRPr="001522CB">
        <w:rPr>
          <w:rFonts w:cs="David" w:hint="cs"/>
          <w:sz w:val="24"/>
          <w:szCs w:val="24"/>
          <w:rtl/>
        </w:rPr>
        <w:t>2006-9-3 "מעילות והונאות מצד גורמים בתוך הארגון וגורמים מחוץ לארגון"</w:t>
      </w:r>
      <w:r w:rsidRPr="001522CB">
        <w:rPr>
          <w:rFonts w:cs="David"/>
          <w:sz w:val="24"/>
          <w:szCs w:val="24"/>
          <w:rtl/>
        </w:rPr>
        <w:t xml:space="preserve"> </w:t>
      </w:r>
      <w:r w:rsidRPr="001522CB">
        <w:rPr>
          <w:rFonts w:cs="David" w:hint="cs"/>
          <w:sz w:val="24"/>
          <w:szCs w:val="24"/>
          <w:rtl/>
        </w:rPr>
        <w:t>(04.10.2006) (להלן: "</w:t>
      </w:r>
      <w:r w:rsidRPr="001522CB">
        <w:rPr>
          <w:rFonts w:cs="David" w:hint="eastAsia"/>
          <w:b/>
          <w:bCs/>
          <w:sz w:val="24"/>
          <w:szCs w:val="24"/>
          <w:rtl/>
        </w:rPr>
        <w:t>החוזר</w:t>
      </w:r>
      <w:r w:rsidRPr="001522CB">
        <w:rPr>
          <w:rFonts w:cs="David" w:hint="cs"/>
          <w:sz w:val="24"/>
          <w:szCs w:val="24"/>
          <w:rtl/>
        </w:rPr>
        <w:t xml:space="preserve">") </w:t>
      </w:r>
      <w:r w:rsidRPr="001522CB">
        <w:rPr>
          <w:rFonts w:cs="David"/>
          <w:sz w:val="24"/>
          <w:szCs w:val="24"/>
          <w:rtl/>
        </w:rPr>
        <w:t>בהוראות החוזר המאוחד</w:t>
      </w:r>
      <w:r w:rsidRPr="001522CB">
        <w:rPr>
          <w:rFonts w:cs="David" w:hint="cs"/>
          <w:sz w:val="24"/>
          <w:szCs w:val="24"/>
          <w:rtl/>
        </w:rPr>
        <w:t xml:space="preserve">, </w:t>
      </w:r>
      <w:r w:rsidR="00B36067">
        <w:rPr>
          <w:rFonts w:cs="David" w:hint="cs"/>
          <w:sz w:val="24"/>
          <w:szCs w:val="24"/>
          <w:rtl/>
        </w:rPr>
        <w:t xml:space="preserve">תוך </w:t>
      </w:r>
      <w:r w:rsidRPr="001522CB">
        <w:rPr>
          <w:rFonts w:cs="David" w:hint="cs"/>
          <w:sz w:val="24"/>
          <w:szCs w:val="24"/>
          <w:rtl/>
        </w:rPr>
        <w:t>עדכון הוראות שמועדן חלף</w:t>
      </w:r>
      <w:r w:rsidRPr="001522CB">
        <w:rPr>
          <w:rFonts w:cs="David"/>
          <w:sz w:val="24"/>
          <w:szCs w:val="24"/>
          <w:rtl/>
        </w:rPr>
        <w:t>.</w:t>
      </w:r>
      <w:r w:rsidRPr="001522CB">
        <w:rPr>
          <w:rFonts w:cs="David" w:hint="cs"/>
          <w:sz w:val="24"/>
          <w:szCs w:val="24"/>
          <w:rtl/>
        </w:rPr>
        <w:t xml:space="preserve"> </w:t>
      </w:r>
    </w:p>
    <w:p w:rsidR="001522CB" w:rsidRPr="001522CB" w:rsidRDefault="001522CB" w:rsidP="001522CB">
      <w:pPr>
        <w:spacing w:line="360" w:lineRule="auto"/>
        <w:ind w:left="397"/>
        <w:rPr>
          <w:rFonts w:cs="David"/>
          <w:sz w:val="24"/>
          <w:szCs w:val="24"/>
          <w:rtl/>
        </w:rPr>
      </w:pPr>
    </w:p>
    <w:p w:rsidR="001522CB" w:rsidRPr="001522CB" w:rsidRDefault="001522CB" w:rsidP="00242B4F">
      <w:pPr>
        <w:pStyle w:val="2"/>
        <w:numPr>
          <w:ilvl w:val="0"/>
          <w:numId w:val="19"/>
        </w:numPr>
        <w:spacing w:before="0" w:after="0"/>
      </w:pPr>
      <w:r w:rsidRPr="001522CB">
        <w:rPr>
          <w:rFonts w:hint="cs"/>
          <w:rtl/>
        </w:rPr>
        <w:t>תיקון החוזר המאוחד</w:t>
      </w:r>
    </w:p>
    <w:p w:rsidR="001522CB" w:rsidRPr="001522CB" w:rsidRDefault="001522CB" w:rsidP="00B616E8">
      <w:pPr>
        <w:spacing w:line="360" w:lineRule="auto"/>
        <w:ind w:left="707"/>
        <w:rPr>
          <w:rFonts w:cs="David"/>
          <w:sz w:val="24"/>
          <w:szCs w:val="24"/>
          <w:rtl/>
        </w:rPr>
      </w:pPr>
      <w:r w:rsidRPr="001522CB">
        <w:rPr>
          <w:rFonts w:cs="David" w:hint="cs"/>
          <w:sz w:val="24"/>
          <w:szCs w:val="24"/>
          <w:rtl/>
        </w:rPr>
        <w:t xml:space="preserve">בחלק 3 בשער 5 של החוזר המאוחד, יבוא פרק 1 שכותרתו "מעילות הונאות", המצורף כנספח לחוזר זה. השינויים העיקריים ביחס לחוזר מסומנים בתיקוני מהדורה. </w:t>
      </w:r>
    </w:p>
    <w:p w:rsidR="001522CB" w:rsidRPr="001522CB" w:rsidRDefault="001522CB" w:rsidP="001522CB">
      <w:pPr>
        <w:spacing w:line="360" w:lineRule="auto"/>
        <w:ind w:left="397"/>
        <w:rPr>
          <w:rFonts w:cs="David"/>
          <w:sz w:val="24"/>
          <w:szCs w:val="24"/>
        </w:rPr>
      </w:pPr>
    </w:p>
    <w:p w:rsidR="001522CB" w:rsidRPr="001522CB" w:rsidRDefault="001522CB" w:rsidP="00242B4F">
      <w:pPr>
        <w:pStyle w:val="2"/>
        <w:numPr>
          <w:ilvl w:val="0"/>
          <w:numId w:val="19"/>
        </w:numPr>
        <w:spacing w:before="0" w:after="0"/>
      </w:pPr>
      <w:r w:rsidRPr="001522CB">
        <w:rPr>
          <w:rtl/>
        </w:rPr>
        <w:t>תחולה</w:t>
      </w:r>
    </w:p>
    <w:p w:rsidR="001522CB" w:rsidRPr="001522CB" w:rsidRDefault="001522CB" w:rsidP="00B616E8">
      <w:pPr>
        <w:spacing w:line="360" w:lineRule="auto"/>
        <w:ind w:left="707"/>
        <w:rPr>
          <w:rFonts w:cs="David"/>
          <w:sz w:val="24"/>
          <w:szCs w:val="24"/>
        </w:rPr>
      </w:pPr>
      <w:r w:rsidRPr="001522CB">
        <w:rPr>
          <w:rFonts w:cs="David"/>
          <w:sz w:val="24"/>
          <w:szCs w:val="24"/>
          <w:rtl/>
        </w:rPr>
        <w:t>הוראות חוזר זה יחולו על כל הגופים המוסדיים.</w:t>
      </w:r>
    </w:p>
    <w:p w:rsidR="001522CB" w:rsidRPr="001522CB" w:rsidRDefault="001522CB" w:rsidP="001522CB">
      <w:pPr>
        <w:spacing w:line="360" w:lineRule="auto"/>
        <w:ind w:left="720"/>
        <w:contextualSpacing/>
        <w:rPr>
          <w:rFonts w:eastAsiaTheme="minorHAnsi" w:cs="David"/>
          <w:sz w:val="24"/>
          <w:szCs w:val="24"/>
          <w:rtl/>
          <w:lang w:eastAsia="en-US"/>
        </w:rPr>
      </w:pPr>
    </w:p>
    <w:p w:rsidR="001522CB" w:rsidRPr="001522CB" w:rsidRDefault="001522CB" w:rsidP="00242B4F">
      <w:pPr>
        <w:pStyle w:val="2"/>
        <w:numPr>
          <w:ilvl w:val="0"/>
          <w:numId w:val="19"/>
        </w:numPr>
        <w:spacing w:before="0" w:after="0"/>
      </w:pPr>
      <w:r w:rsidRPr="001522CB">
        <w:rPr>
          <w:rtl/>
        </w:rPr>
        <w:t>תחילה</w:t>
      </w:r>
    </w:p>
    <w:p w:rsidR="001522CB" w:rsidRPr="001522CB" w:rsidRDefault="001522CB" w:rsidP="00B616E8">
      <w:pPr>
        <w:spacing w:line="360" w:lineRule="auto"/>
        <w:ind w:left="707"/>
        <w:rPr>
          <w:rFonts w:cs="David"/>
          <w:sz w:val="24"/>
          <w:szCs w:val="24"/>
          <w:rtl/>
        </w:rPr>
      </w:pPr>
      <w:r w:rsidRPr="001522CB">
        <w:rPr>
          <w:rFonts w:cs="David"/>
          <w:sz w:val="24"/>
          <w:szCs w:val="24"/>
          <w:rtl/>
        </w:rPr>
        <w:t>תחילתו של חוזר זה ב</w:t>
      </w:r>
      <w:r w:rsidRPr="001522CB">
        <w:rPr>
          <w:rFonts w:cs="David" w:hint="cs"/>
          <w:sz w:val="24"/>
          <w:szCs w:val="24"/>
          <w:rtl/>
        </w:rPr>
        <w:t>יום פרסומו</w:t>
      </w:r>
      <w:r w:rsidRPr="001522CB">
        <w:rPr>
          <w:rFonts w:cs="David"/>
          <w:sz w:val="24"/>
          <w:szCs w:val="24"/>
          <w:rtl/>
        </w:rPr>
        <w:t>.</w:t>
      </w:r>
    </w:p>
    <w:p w:rsidR="001522CB" w:rsidRPr="001522CB" w:rsidRDefault="001522CB" w:rsidP="001522CB">
      <w:pPr>
        <w:spacing w:before="120" w:after="120" w:line="360" w:lineRule="auto"/>
        <w:ind w:left="720"/>
        <w:contextualSpacing/>
        <w:rPr>
          <w:rFonts w:eastAsiaTheme="minorHAnsi" w:cs="David"/>
          <w:sz w:val="24"/>
          <w:szCs w:val="24"/>
          <w:lang w:eastAsia="en-US"/>
        </w:rPr>
      </w:pPr>
    </w:p>
    <w:p w:rsidR="001522CB" w:rsidRPr="001522CB" w:rsidRDefault="001522CB" w:rsidP="00495FD3">
      <w:pPr>
        <w:pStyle w:val="2"/>
        <w:numPr>
          <w:ilvl w:val="0"/>
          <w:numId w:val="19"/>
        </w:numPr>
        <w:spacing w:before="0" w:after="0"/>
      </w:pPr>
      <w:r w:rsidRPr="001522CB">
        <w:rPr>
          <w:rtl/>
        </w:rPr>
        <w:t>ביטול</w:t>
      </w:r>
      <w:r w:rsidRPr="001522CB">
        <w:rPr>
          <w:rFonts w:hint="cs"/>
          <w:rtl/>
        </w:rPr>
        <w:t xml:space="preserve"> תקפות</w:t>
      </w:r>
    </w:p>
    <w:p w:rsidR="00DE7D83" w:rsidRDefault="001522CB" w:rsidP="00DE7D83">
      <w:pPr>
        <w:spacing w:line="360" w:lineRule="auto"/>
        <w:ind w:left="707"/>
        <w:rPr>
          <w:rFonts w:cs="David"/>
          <w:sz w:val="24"/>
          <w:szCs w:val="24"/>
          <w:rtl/>
        </w:rPr>
      </w:pPr>
      <w:r w:rsidRPr="001522CB">
        <w:rPr>
          <w:rFonts w:cs="David"/>
          <w:sz w:val="24"/>
          <w:szCs w:val="24"/>
          <w:rtl/>
        </w:rPr>
        <w:t>חוזר</w:t>
      </w:r>
      <w:r w:rsidRPr="001522CB">
        <w:rPr>
          <w:rFonts w:cs="David" w:hint="cs"/>
          <w:sz w:val="24"/>
          <w:szCs w:val="24"/>
          <w:rtl/>
        </w:rPr>
        <w:t xml:space="preserve"> גופים מוסדיים</w:t>
      </w:r>
      <w:r w:rsidRPr="001522CB">
        <w:rPr>
          <w:rFonts w:cs="David"/>
          <w:sz w:val="24"/>
          <w:szCs w:val="24"/>
          <w:rtl/>
        </w:rPr>
        <w:t xml:space="preserve"> </w:t>
      </w:r>
      <w:r w:rsidRPr="001522CB">
        <w:rPr>
          <w:rFonts w:cs="David" w:hint="cs"/>
          <w:sz w:val="24"/>
          <w:szCs w:val="24"/>
          <w:rtl/>
        </w:rPr>
        <w:t>2006-9-3 "מעילות והונאות מצד גורמים בתוך הארגון וגורמים מחוץ לארגון"</w:t>
      </w:r>
      <w:r w:rsidRPr="001522CB">
        <w:rPr>
          <w:rFonts w:cs="David"/>
          <w:sz w:val="24"/>
          <w:szCs w:val="24"/>
          <w:rtl/>
        </w:rPr>
        <w:t xml:space="preserve"> </w:t>
      </w:r>
      <w:r w:rsidRPr="001522CB">
        <w:rPr>
          <w:rFonts w:cs="David" w:hint="cs"/>
          <w:sz w:val="24"/>
          <w:szCs w:val="24"/>
          <w:rtl/>
        </w:rPr>
        <w:t xml:space="preserve">(04.10.2006)  </w:t>
      </w:r>
      <w:r w:rsidRPr="001522CB">
        <w:rPr>
          <w:rFonts w:cs="David"/>
          <w:sz w:val="24"/>
          <w:szCs w:val="24"/>
          <w:rtl/>
        </w:rPr>
        <w:t>–</w:t>
      </w:r>
      <w:r w:rsidR="00DE7D83">
        <w:rPr>
          <w:rFonts w:cs="David" w:hint="cs"/>
          <w:sz w:val="24"/>
          <w:szCs w:val="24"/>
          <w:rtl/>
        </w:rPr>
        <w:t xml:space="preserve"> בטל.</w:t>
      </w:r>
    </w:p>
    <w:p w:rsidR="003D1A57" w:rsidRDefault="00B451C7" w:rsidP="00DE7D83">
      <w:pPr>
        <w:spacing w:line="360" w:lineRule="auto"/>
        <w:ind w:left="5669"/>
        <w:rPr>
          <w:rFonts w:cs="David"/>
          <w:sz w:val="24"/>
          <w:szCs w:val="24"/>
          <w:rtl/>
        </w:rPr>
      </w:pPr>
      <w:r>
        <w:rPr>
          <w:rFonts w:cs="David" w:hint="cs"/>
          <w:sz w:val="24"/>
          <w:szCs w:val="24"/>
          <w:rtl/>
        </w:rPr>
        <w:t xml:space="preserve">דורית </w:t>
      </w:r>
      <w:proofErr w:type="spellStart"/>
      <w:r>
        <w:rPr>
          <w:rFonts w:cs="David" w:hint="cs"/>
          <w:sz w:val="24"/>
          <w:szCs w:val="24"/>
          <w:rtl/>
        </w:rPr>
        <w:t>סלינגר</w:t>
      </w:r>
      <w:proofErr w:type="spellEnd"/>
    </w:p>
    <w:p w:rsidR="00DE7D83" w:rsidRDefault="003D1A57" w:rsidP="00DE7D83">
      <w:pPr>
        <w:tabs>
          <w:tab w:val="center" w:pos="2359"/>
          <w:tab w:val="center" w:pos="6186"/>
        </w:tabs>
        <w:spacing w:line="276" w:lineRule="auto"/>
        <w:jc w:val="left"/>
        <w:rPr>
          <w:rFonts w:cs="David"/>
          <w:sz w:val="24"/>
          <w:szCs w:val="24"/>
          <w:rtl/>
        </w:rPr>
      </w:pPr>
      <w:r>
        <w:rPr>
          <w:rFonts w:cs="David" w:hint="cs"/>
          <w:sz w:val="24"/>
          <w:szCs w:val="24"/>
          <w:rtl/>
        </w:rPr>
        <w:tab/>
      </w:r>
      <w:r>
        <w:rPr>
          <w:rFonts w:cs="David" w:hint="cs"/>
          <w:sz w:val="24"/>
          <w:szCs w:val="24"/>
          <w:rtl/>
        </w:rPr>
        <w:tab/>
        <w:t>הממונה על שוק ההון ביטוח וחסכון</w:t>
      </w:r>
    </w:p>
    <w:p w:rsidR="00DE7D83" w:rsidRDefault="00DE7D83">
      <w:pPr>
        <w:bidi w:val="0"/>
        <w:spacing w:before="200" w:after="200" w:line="276" w:lineRule="auto"/>
        <w:jc w:val="left"/>
        <w:rPr>
          <w:rFonts w:cs="David"/>
          <w:sz w:val="24"/>
          <w:szCs w:val="24"/>
        </w:rPr>
      </w:pPr>
      <w:r>
        <w:rPr>
          <w:rFonts w:cs="David"/>
          <w:sz w:val="24"/>
          <w:szCs w:val="24"/>
          <w:rtl/>
        </w:rPr>
        <w:br w:type="page"/>
      </w:r>
    </w:p>
    <w:p w:rsidR="00DE7D83" w:rsidRPr="00244FDC" w:rsidRDefault="00DE7D83" w:rsidP="00DE7D83">
      <w:pPr>
        <w:tabs>
          <w:tab w:val="center" w:pos="2359"/>
          <w:tab w:val="center" w:pos="6186"/>
        </w:tabs>
        <w:spacing w:line="276" w:lineRule="auto"/>
        <w:jc w:val="left"/>
        <w:rPr>
          <w:rFonts w:cs="David"/>
          <w:sz w:val="24"/>
          <w:szCs w:val="24"/>
          <w:rtl/>
        </w:rPr>
      </w:pPr>
    </w:p>
    <w:p w:rsidR="003D1A57" w:rsidRPr="001522CB" w:rsidRDefault="003D1A57" w:rsidP="003D1A57">
      <w:pPr>
        <w:tabs>
          <w:tab w:val="center" w:pos="2359"/>
          <w:tab w:val="center" w:pos="5619"/>
        </w:tabs>
        <w:spacing w:line="276" w:lineRule="auto"/>
        <w:jc w:val="left"/>
        <w:rPr>
          <w:rFonts w:cs="David"/>
          <w:sz w:val="24"/>
          <w:szCs w:val="24"/>
          <w:rtl/>
        </w:rPr>
      </w:pPr>
    </w:p>
    <w:p w:rsidR="001522CB" w:rsidRPr="003335D8" w:rsidRDefault="001522CB" w:rsidP="00242B4F">
      <w:pPr>
        <w:pStyle w:val="1"/>
        <w:spacing w:line="360" w:lineRule="auto"/>
        <w:rPr>
          <w:sz w:val="24"/>
          <w:szCs w:val="24"/>
          <w:rtl/>
        </w:rPr>
      </w:pPr>
      <w:r w:rsidRPr="003335D8">
        <w:rPr>
          <w:rFonts w:hint="cs"/>
          <w:sz w:val="24"/>
          <w:szCs w:val="24"/>
          <w:rtl/>
        </w:rPr>
        <w:t>פרק 1 בחלק 3 שער 5:</w:t>
      </w:r>
    </w:p>
    <w:p w:rsidR="001522CB" w:rsidRPr="003335D8" w:rsidRDefault="001522CB" w:rsidP="001522CB">
      <w:pPr>
        <w:pStyle w:val="1"/>
        <w:rPr>
          <w:sz w:val="24"/>
          <w:szCs w:val="24"/>
          <w:rtl/>
        </w:rPr>
      </w:pPr>
      <w:r w:rsidRPr="003335D8">
        <w:rPr>
          <w:rFonts w:hint="cs"/>
          <w:sz w:val="24"/>
          <w:szCs w:val="24"/>
          <w:rtl/>
        </w:rPr>
        <w:t>"</w:t>
      </w:r>
      <w:r w:rsidRPr="003335D8">
        <w:rPr>
          <w:rFonts w:hint="eastAsia"/>
          <w:sz w:val="24"/>
          <w:szCs w:val="24"/>
          <w:rtl/>
        </w:rPr>
        <w:t>מעילות</w:t>
      </w:r>
      <w:r w:rsidRPr="003335D8">
        <w:rPr>
          <w:sz w:val="24"/>
          <w:szCs w:val="24"/>
          <w:rtl/>
        </w:rPr>
        <w:t xml:space="preserve"> והונאות מצד גורמים בתוך הארגון וגורמים מחוץ לארגון</w:t>
      </w:r>
      <w:r w:rsidRPr="003335D8">
        <w:rPr>
          <w:rFonts w:hint="cs"/>
          <w:sz w:val="24"/>
          <w:szCs w:val="24"/>
          <w:rtl/>
        </w:rPr>
        <w:t>"</w:t>
      </w:r>
      <w:r w:rsidRPr="003335D8">
        <w:rPr>
          <w:sz w:val="24"/>
          <w:szCs w:val="24"/>
          <w:vertAlign w:val="superscript"/>
          <w:rtl/>
        </w:rPr>
        <w:footnoteReference w:id="1"/>
      </w:r>
    </w:p>
    <w:p w:rsidR="001522CB" w:rsidRDefault="001522CB" w:rsidP="001522CB">
      <w:pPr>
        <w:spacing w:line="360" w:lineRule="auto"/>
        <w:ind w:left="397"/>
        <w:rPr>
          <w:rFonts w:cs="David"/>
          <w:sz w:val="24"/>
          <w:szCs w:val="24"/>
          <w:rtl/>
        </w:rPr>
      </w:pPr>
    </w:p>
    <w:p w:rsidR="001522CB" w:rsidRPr="001522CB" w:rsidRDefault="001522CB" w:rsidP="007333F2">
      <w:pPr>
        <w:pStyle w:val="2"/>
        <w:numPr>
          <w:ilvl w:val="0"/>
          <w:numId w:val="23"/>
        </w:numPr>
        <w:rPr>
          <w:rtl/>
        </w:rPr>
      </w:pPr>
      <w:r w:rsidRPr="001522CB">
        <w:rPr>
          <w:rFonts w:hint="cs"/>
          <w:rtl/>
        </w:rPr>
        <w:t>אחריות הדירקטוריון</w:t>
      </w:r>
    </w:p>
    <w:p w:rsidR="001522CB" w:rsidRPr="001522CB" w:rsidRDefault="001522CB" w:rsidP="001522CB">
      <w:pPr>
        <w:spacing w:line="360" w:lineRule="auto"/>
        <w:ind w:left="733"/>
        <w:rPr>
          <w:rFonts w:cs="David"/>
          <w:sz w:val="24"/>
          <w:szCs w:val="24"/>
        </w:rPr>
      </w:pPr>
      <w:r w:rsidRPr="001522CB">
        <w:rPr>
          <w:rFonts w:cs="David" w:hint="cs"/>
          <w:sz w:val="24"/>
          <w:szCs w:val="24"/>
          <w:rtl/>
        </w:rPr>
        <w:t>על דירקטוריון הגוף המוסדי חלות החובות הבאות:</w:t>
      </w:r>
    </w:p>
    <w:p w:rsidR="001522CB" w:rsidRPr="001522CB" w:rsidRDefault="001522CB" w:rsidP="001522CB">
      <w:pPr>
        <w:numPr>
          <w:ilvl w:val="0"/>
          <w:numId w:val="18"/>
        </w:numPr>
        <w:spacing w:line="360" w:lineRule="auto"/>
        <w:ind w:left="1300" w:hanging="425"/>
        <w:outlineLvl w:val="2"/>
        <w:rPr>
          <w:rFonts w:cs="David"/>
          <w:sz w:val="24"/>
          <w:szCs w:val="24"/>
          <w:rtl/>
        </w:rPr>
      </w:pPr>
      <w:r w:rsidRPr="001522CB">
        <w:rPr>
          <w:rFonts w:cs="David" w:hint="eastAsia"/>
          <w:sz w:val="24"/>
          <w:szCs w:val="24"/>
          <w:rtl/>
        </w:rPr>
        <w:t>לקבוע</w:t>
      </w:r>
      <w:r w:rsidRPr="001522CB">
        <w:rPr>
          <w:rFonts w:cs="David"/>
          <w:sz w:val="24"/>
          <w:szCs w:val="24"/>
          <w:rtl/>
        </w:rPr>
        <w:t xml:space="preserve"> </w:t>
      </w:r>
      <w:r w:rsidRPr="001522CB">
        <w:rPr>
          <w:rFonts w:cs="David" w:hint="eastAsia"/>
          <w:sz w:val="24"/>
          <w:szCs w:val="24"/>
          <w:rtl/>
        </w:rPr>
        <w:t>מדיניות</w:t>
      </w:r>
      <w:r w:rsidRPr="001522CB">
        <w:rPr>
          <w:rFonts w:cs="David"/>
          <w:sz w:val="24"/>
          <w:szCs w:val="24"/>
          <w:rtl/>
        </w:rPr>
        <w:t xml:space="preserve">, </w:t>
      </w:r>
      <w:r w:rsidRPr="001522CB">
        <w:rPr>
          <w:rFonts w:cs="David" w:hint="eastAsia"/>
          <w:sz w:val="24"/>
          <w:szCs w:val="24"/>
          <w:rtl/>
        </w:rPr>
        <w:t>לאשר</w:t>
      </w:r>
      <w:r w:rsidRPr="001522CB">
        <w:rPr>
          <w:rFonts w:cs="David"/>
          <w:sz w:val="24"/>
          <w:szCs w:val="24"/>
          <w:rtl/>
        </w:rPr>
        <w:t xml:space="preserve"> </w:t>
      </w:r>
      <w:r w:rsidRPr="001522CB">
        <w:rPr>
          <w:rFonts w:cs="David" w:hint="eastAsia"/>
          <w:sz w:val="24"/>
          <w:szCs w:val="24"/>
          <w:rtl/>
        </w:rPr>
        <w:t>אמצעים</w:t>
      </w:r>
      <w:r w:rsidRPr="001522CB">
        <w:rPr>
          <w:rFonts w:cs="David"/>
          <w:sz w:val="24"/>
          <w:szCs w:val="24"/>
          <w:rtl/>
        </w:rPr>
        <w:t xml:space="preserve"> </w:t>
      </w:r>
      <w:r w:rsidRPr="001522CB">
        <w:rPr>
          <w:rFonts w:cs="David" w:hint="eastAsia"/>
          <w:sz w:val="24"/>
          <w:szCs w:val="24"/>
          <w:rtl/>
        </w:rPr>
        <w:t>ושיטות</w:t>
      </w:r>
      <w:r w:rsidRPr="001522CB">
        <w:rPr>
          <w:rFonts w:cs="David"/>
          <w:sz w:val="24"/>
          <w:szCs w:val="24"/>
          <w:rtl/>
        </w:rPr>
        <w:t xml:space="preserve"> </w:t>
      </w:r>
      <w:r w:rsidRPr="001522CB">
        <w:rPr>
          <w:rFonts w:cs="David" w:hint="eastAsia"/>
          <w:sz w:val="24"/>
          <w:szCs w:val="24"/>
          <w:rtl/>
        </w:rPr>
        <w:t>הנוגעים</w:t>
      </w:r>
      <w:r w:rsidRPr="001522CB">
        <w:rPr>
          <w:rFonts w:cs="David"/>
          <w:sz w:val="24"/>
          <w:szCs w:val="24"/>
          <w:rtl/>
        </w:rPr>
        <w:t xml:space="preserve"> </w:t>
      </w:r>
      <w:r w:rsidRPr="001522CB">
        <w:rPr>
          <w:rFonts w:cs="David" w:hint="eastAsia"/>
          <w:sz w:val="24"/>
          <w:szCs w:val="24"/>
          <w:rtl/>
        </w:rPr>
        <w:t>לדרכי</w:t>
      </w:r>
      <w:r w:rsidRPr="001522CB">
        <w:rPr>
          <w:rFonts w:cs="David"/>
          <w:sz w:val="24"/>
          <w:szCs w:val="24"/>
          <w:rtl/>
        </w:rPr>
        <w:t xml:space="preserve"> </w:t>
      </w:r>
      <w:r w:rsidRPr="001522CB">
        <w:rPr>
          <w:rFonts w:cs="David" w:hint="eastAsia"/>
          <w:sz w:val="24"/>
          <w:szCs w:val="24"/>
          <w:rtl/>
        </w:rPr>
        <w:t>ההתמודדות</w:t>
      </w:r>
      <w:r w:rsidRPr="001522CB">
        <w:rPr>
          <w:rFonts w:cs="David"/>
          <w:sz w:val="24"/>
          <w:szCs w:val="24"/>
          <w:rtl/>
        </w:rPr>
        <w:t xml:space="preserve"> </w:t>
      </w:r>
      <w:r w:rsidRPr="001522CB">
        <w:rPr>
          <w:rFonts w:cs="David" w:hint="eastAsia"/>
          <w:sz w:val="24"/>
          <w:szCs w:val="24"/>
          <w:rtl/>
        </w:rPr>
        <w:t>עם</w:t>
      </w:r>
      <w:r w:rsidRPr="001522CB">
        <w:rPr>
          <w:rFonts w:cs="David"/>
          <w:sz w:val="24"/>
          <w:szCs w:val="24"/>
          <w:rtl/>
        </w:rPr>
        <w:t xml:space="preserve"> </w:t>
      </w:r>
      <w:r w:rsidRPr="001522CB">
        <w:rPr>
          <w:rFonts w:cs="David" w:hint="eastAsia"/>
          <w:sz w:val="24"/>
          <w:szCs w:val="24"/>
          <w:rtl/>
        </w:rPr>
        <w:t>הונאות</w:t>
      </w:r>
      <w:r w:rsidRPr="001522CB">
        <w:rPr>
          <w:rFonts w:cs="David"/>
          <w:sz w:val="24"/>
          <w:szCs w:val="24"/>
          <w:rtl/>
        </w:rPr>
        <w:t xml:space="preserve"> </w:t>
      </w:r>
      <w:r w:rsidRPr="001522CB">
        <w:rPr>
          <w:rFonts w:cs="David" w:hint="eastAsia"/>
          <w:sz w:val="24"/>
          <w:szCs w:val="24"/>
          <w:rtl/>
        </w:rPr>
        <w:t>ומעילות</w:t>
      </w:r>
      <w:r w:rsidRPr="001522CB">
        <w:rPr>
          <w:rFonts w:cs="David"/>
          <w:sz w:val="24"/>
          <w:szCs w:val="24"/>
          <w:rtl/>
        </w:rPr>
        <w:t xml:space="preserve"> </w:t>
      </w:r>
      <w:r w:rsidRPr="001522CB">
        <w:rPr>
          <w:rFonts w:cs="David" w:hint="eastAsia"/>
          <w:sz w:val="24"/>
          <w:szCs w:val="24"/>
          <w:rtl/>
        </w:rPr>
        <w:t>של</w:t>
      </w:r>
      <w:r w:rsidRPr="001522CB">
        <w:rPr>
          <w:rFonts w:cs="David"/>
          <w:sz w:val="24"/>
          <w:szCs w:val="24"/>
          <w:rtl/>
        </w:rPr>
        <w:t xml:space="preserve"> </w:t>
      </w:r>
      <w:r w:rsidRPr="001522CB">
        <w:rPr>
          <w:rFonts w:cs="David" w:hint="eastAsia"/>
          <w:sz w:val="24"/>
          <w:szCs w:val="24"/>
          <w:rtl/>
        </w:rPr>
        <w:t>גורמים</w:t>
      </w:r>
      <w:r w:rsidRPr="001522CB">
        <w:rPr>
          <w:rFonts w:cs="David"/>
          <w:sz w:val="24"/>
          <w:szCs w:val="24"/>
          <w:rtl/>
        </w:rPr>
        <w:t xml:space="preserve"> </w:t>
      </w:r>
      <w:r w:rsidRPr="001522CB">
        <w:rPr>
          <w:rFonts w:cs="David" w:hint="eastAsia"/>
          <w:sz w:val="24"/>
          <w:szCs w:val="24"/>
          <w:rtl/>
        </w:rPr>
        <w:t>בתוך</w:t>
      </w:r>
      <w:r w:rsidRPr="001522CB">
        <w:rPr>
          <w:rFonts w:cs="David"/>
          <w:sz w:val="24"/>
          <w:szCs w:val="24"/>
          <w:rtl/>
        </w:rPr>
        <w:t xml:space="preserve"> </w:t>
      </w:r>
      <w:r w:rsidRPr="001522CB">
        <w:rPr>
          <w:rFonts w:cs="David" w:hint="eastAsia"/>
          <w:sz w:val="24"/>
          <w:szCs w:val="24"/>
          <w:rtl/>
        </w:rPr>
        <w:t>הגוף</w:t>
      </w:r>
      <w:r w:rsidRPr="001522CB">
        <w:rPr>
          <w:rFonts w:cs="David"/>
          <w:sz w:val="24"/>
          <w:szCs w:val="24"/>
          <w:rtl/>
        </w:rPr>
        <w:t xml:space="preserve"> </w:t>
      </w:r>
      <w:r w:rsidRPr="001522CB">
        <w:rPr>
          <w:rFonts w:cs="David" w:hint="eastAsia"/>
          <w:sz w:val="24"/>
          <w:szCs w:val="24"/>
          <w:rtl/>
        </w:rPr>
        <w:t>המוסדי</w:t>
      </w:r>
      <w:r w:rsidRPr="001522CB">
        <w:rPr>
          <w:rFonts w:cs="David"/>
          <w:sz w:val="24"/>
          <w:szCs w:val="24"/>
          <w:rtl/>
        </w:rPr>
        <w:t xml:space="preserve"> </w:t>
      </w:r>
      <w:r w:rsidRPr="001522CB">
        <w:rPr>
          <w:rFonts w:cs="David" w:hint="eastAsia"/>
          <w:sz w:val="24"/>
          <w:szCs w:val="24"/>
          <w:rtl/>
        </w:rPr>
        <w:t>או</w:t>
      </w:r>
      <w:r w:rsidRPr="001522CB">
        <w:rPr>
          <w:rFonts w:cs="David"/>
          <w:sz w:val="24"/>
          <w:szCs w:val="24"/>
          <w:rtl/>
        </w:rPr>
        <w:t xml:space="preserve"> </w:t>
      </w:r>
      <w:r w:rsidRPr="001522CB">
        <w:rPr>
          <w:rFonts w:cs="David" w:hint="eastAsia"/>
          <w:sz w:val="24"/>
          <w:szCs w:val="24"/>
          <w:rtl/>
        </w:rPr>
        <w:t>גורמי</w:t>
      </w:r>
      <w:r w:rsidRPr="001522CB">
        <w:rPr>
          <w:rFonts w:cs="David"/>
          <w:sz w:val="24"/>
          <w:szCs w:val="24"/>
          <w:rtl/>
        </w:rPr>
        <w:t xml:space="preserve"> </w:t>
      </w:r>
      <w:r w:rsidRPr="001522CB">
        <w:rPr>
          <w:rFonts w:cs="David" w:hint="eastAsia"/>
          <w:sz w:val="24"/>
          <w:szCs w:val="24"/>
          <w:rtl/>
        </w:rPr>
        <w:t>חוץ</w:t>
      </w:r>
      <w:r w:rsidRPr="001522CB">
        <w:rPr>
          <w:rFonts w:cs="David"/>
          <w:sz w:val="24"/>
          <w:szCs w:val="24"/>
          <w:rtl/>
        </w:rPr>
        <w:t xml:space="preserve"> </w:t>
      </w:r>
      <w:r w:rsidRPr="001522CB">
        <w:rPr>
          <w:rFonts w:cs="David" w:hint="eastAsia"/>
          <w:sz w:val="24"/>
          <w:szCs w:val="24"/>
          <w:rtl/>
        </w:rPr>
        <w:t>הקשורים</w:t>
      </w:r>
      <w:r w:rsidRPr="001522CB">
        <w:rPr>
          <w:rFonts w:cs="David"/>
          <w:sz w:val="24"/>
          <w:szCs w:val="24"/>
          <w:rtl/>
        </w:rPr>
        <w:t xml:space="preserve"> </w:t>
      </w:r>
      <w:r w:rsidRPr="001522CB">
        <w:rPr>
          <w:rFonts w:cs="David" w:hint="eastAsia"/>
          <w:sz w:val="24"/>
          <w:szCs w:val="24"/>
          <w:rtl/>
        </w:rPr>
        <w:t>לו</w:t>
      </w:r>
      <w:r w:rsidRPr="001522CB">
        <w:rPr>
          <w:rFonts w:cs="David"/>
          <w:sz w:val="24"/>
          <w:szCs w:val="24"/>
          <w:rtl/>
        </w:rPr>
        <w:t xml:space="preserve">, </w:t>
      </w:r>
      <w:r w:rsidRPr="001522CB">
        <w:rPr>
          <w:rFonts w:cs="David" w:hint="eastAsia"/>
          <w:sz w:val="24"/>
          <w:szCs w:val="24"/>
          <w:rtl/>
        </w:rPr>
        <w:t>ואשר</w:t>
      </w:r>
      <w:r w:rsidRPr="001522CB">
        <w:rPr>
          <w:rFonts w:cs="David"/>
          <w:sz w:val="24"/>
          <w:szCs w:val="24"/>
          <w:rtl/>
        </w:rPr>
        <w:t xml:space="preserve"> </w:t>
      </w:r>
      <w:r w:rsidRPr="001522CB">
        <w:rPr>
          <w:rFonts w:cs="David" w:hint="eastAsia"/>
          <w:sz w:val="24"/>
          <w:szCs w:val="24"/>
          <w:rtl/>
        </w:rPr>
        <w:t>עלולים</w:t>
      </w:r>
      <w:r w:rsidRPr="001522CB">
        <w:rPr>
          <w:rFonts w:cs="David"/>
          <w:sz w:val="24"/>
          <w:szCs w:val="24"/>
          <w:rtl/>
        </w:rPr>
        <w:t xml:space="preserve"> </w:t>
      </w:r>
      <w:r w:rsidRPr="001522CB">
        <w:rPr>
          <w:rFonts w:cs="David" w:hint="eastAsia"/>
          <w:sz w:val="24"/>
          <w:szCs w:val="24"/>
          <w:rtl/>
        </w:rPr>
        <w:t>לנצל</w:t>
      </w:r>
      <w:r w:rsidRPr="001522CB">
        <w:rPr>
          <w:rFonts w:cs="David"/>
          <w:sz w:val="24"/>
          <w:szCs w:val="24"/>
          <w:rtl/>
        </w:rPr>
        <w:t xml:space="preserve"> </w:t>
      </w:r>
      <w:r w:rsidRPr="001522CB">
        <w:rPr>
          <w:rFonts w:cs="David" w:hint="eastAsia"/>
          <w:sz w:val="24"/>
          <w:szCs w:val="24"/>
          <w:rtl/>
        </w:rPr>
        <w:t>לרעה</w:t>
      </w:r>
      <w:r w:rsidRPr="001522CB">
        <w:rPr>
          <w:rFonts w:cs="David"/>
          <w:sz w:val="24"/>
          <w:szCs w:val="24"/>
          <w:rtl/>
        </w:rPr>
        <w:t xml:space="preserve"> </w:t>
      </w:r>
      <w:r w:rsidRPr="001522CB">
        <w:rPr>
          <w:rFonts w:cs="David" w:hint="eastAsia"/>
          <w:sz w:val="24"/>
          <w:szCs w:val="24"/>
          <w:rtl/>
        </w:rPr>
        <w:t>קשר</w:t>
      </w:r>
      <w:r w:rsidRPr="001522CB">
        <w:rPr>
          <w:rFonts w:cs="David"/>
          <w:sz w:val="24"/>
          <w:szCs w:val="24"/>
          <w:rtl/>
        </w:rPr>
        <w:t xml:space="preserve"> </w:t>
      </w:r>
      <w:r w:rsidRPr="001522CB">
        <w:rPr>
          <w:rFonts w:cs="David" w:hint="eastAsia"/>
          <w:sz w:val="24"/>
          <w:szCs w:val="24"/>
          <w:rtl/>
        </w:rPr>
        <w:t>זה</w:t>
      </w:r>
      <w:r w:rsidRPr="001522CB">
        <w:rPr>
          <w:rFonts w:cs="David"/>
          <w:sz w:val="24"/>
          <w:szCs w:val="24"/>
          <w:rtl/>
        </w:rPr>
        <w:t xml:space="preserve">, </w:t>
      </w:r>
      <w:r w:rsidRPr="001522CB">
        <w:rPr>
          <w:rFonts w:cs="David" w:hint="eastAsia"/>
          <w:sz w:val="24"/>
          <w:szCs w:val="24"/>
          <w:rtl/>
        </w:rPr>
        <w:t>ולקבוע</w:t>
      </w:r>
      <w:r w:rsidRPr="001522CB">
        <w:rPr>
          <w:rFonts w:cs="David"/>
          <w:sz w:val="24"/>
          <w:szCs w:val="24"/>
          <w:rtl/>
        </w:rPr>
        <w:t xml:space="preserve"> </w:t>
      </w:r>
      <w:r w:rsidRPr="001522CB">
        <w:rPr>
          <w:rFonts w:cs="David" w:hint="eastAsia"/>
          <w:sz w:val="24"/>
          <w:szCs w:val="24"/>
          <w:rtl/>
        </w:rPr>
        <w:t>נהלי</w:t>
      </w:r>
      <w:r w:rsidRPr="001522CB">
        <w:rPr>
          <w:rFonts w:cs="David"/>
          <w:sz w:val="24"/>
          <w:szCs w:val="24"/>
          <w:rtl/>
        </w:rPr>
        <w:t xml:space="preserve"> </w:t>
      </w:r>
      <w:r w:rsidRPr="001522CB">
        <w:rPr>
          <w:rFonts w:cs="David" w:hint="eastAsia"/>
          <w:sz w:val="24"/>
          <w:szCs w:val="24"/>
          <w:rtl/>
        </w:rPr>
        <w:t>דווח</w:t>
      </w:r>
      <w:r w:rsidRPr="001522CB">
        <w:rPr>
          <w:rFonts w:cs="David"/>
          <w:sz w:val="24"/>
          <w:szCs w:val="24"/>
          <w:rtl/>
        </w:rPr>
        <w:t xml:space="preserve"> </w:t>
      </w:r>
      <w:r w:rsidRPr="001522CB">
        <w:rPr>
          <w:rFonts w:cs="David" w:hint="eastAsia"/>
          <w:sz w:val="24"/>
          <w:szCs w:val="24"/>
          <w:rtl/>
        </w:rPr>
        <w:t>לדירקטוריון</w:t>
      </w:r>
      <w:r w:rsidRPr="001522CB">
        <w:rPr>
          <w:rFonts w:cs="David"/>
          <w:sz w:val="24"/>
          <w:szCs w:val="24"/>
          <w:rtl/>
        </w:rPr>
        <w:t xml:space="preserve"> </w:t>
      </w:r>
      <w:r w:rsidRPr="001522CB">
        <w:rPr>
          <w:rFonts w:cs="David" w:hint="eastAsia"/>
          <w:sz w:val="24"/>
          <w:szCs w:val="24"/>
          <w:rtl/>
        </w:rPr>
        <w:t>עליהם</w:t>
      </w:r>
      <w:r w:rsidRPr="001522CB">
        <w:rPr>
          <w:rFonts w:cs="David"/>
          <w:sz w:val="24"/>
          <w:szCs w:val="24"/>
          <w:rtl/>
        </w:rPr>
        <w:t>.</w:t>
      </w:r>
    </w:p>
    <w:p w:rsidR="001522CB" w:rsidRPr="001522CB" w:rsidRDefault="001522CB" w:rsidP="001522CB">
      <w:pPr>
        <w:numPr>
          <w:ilvl w:val="0"/>
          <w:numId w:val="18"/>
        </w:numPr>
        <w:spacing w:line="360" w:lineRule="auto"/>
        <w:ind w:left="1300" w:hanging="425"/>
        <w:outlineLvl w:val="2"/>
        <w:rPr>
          <w:rFonts w:cs="David"/>
          <w:sz w:val="24"/>
          <w:szCs w:val="24"/>
        </w:rPr>
      </w:pPr>
      <w:r w:rsidRPr="001522CB">
        <w:rPr>
          <w:rFonts w:cs="David" w:hint="eastAsia"/>
          <w:sz w:val="24"/>
          <w:szCs w:val="24"/>
          <w:rtl/>
        </w:rPr>
        <w:t>לוודא</w:t>
      </w:r>
      <w:r w:rsidRPr="001522CB">
        <w:rPr>
          <w:rFonts w:cs="David"/>
          <w:sz w:val="24"/>
          <w:szCs w:val="24"/>
          <w:rtl/>
        </w:rPr>
        <w:t xml:space="preserve"> </w:t>
      </w:r>
      <w:r w:rsidRPr="001522CB">
        <w:rPr>
          <w:rFonts w:cs="David" w:hint="eastAsia"/>
          <w:sz w:val="24"/>
          <w:szCs w:val="24"/>
          <w:rtl/>
        </w:rPr>
        <w:t>ביצועו</w:t>
      </w:r>
      <w:r w:rsidRPr="001522CB">
        <w:rPr>
          <w:rFonts w:cs="David"/>
          <w:sz w:val="24"/>
          <w:szCs w:val="24"/>
          <w:rtl/>
        </w:rPr>
        <w:t xml:space="preserve"> </w:t>
      </w:r>
      <w:r w:rsidRPr="001522CB">
        <w:rPr>
          <w:rFonts w:cs="David" w:hint="eastAsia"/>
          <w:sz w:val="24"/>
          <w:szCs w:val="24"/>
          <w:rtl/>
        </w:rPr>
        <w:t>של</w:t>
      </w:r>
      <w:r w:rsidRPr="001522CB">
        <w:rPr>
          <w:rFonts w:cs="David"/>
          <w:sz w:val="24"/>
          <w:szCs w:val="24"/>
          <w:rtl/>
        </w:rPr>
        <w:t xml:space="preserve"> </w:t>
      </w:r>
      <w:r w:rsidRPr="001522CB">
        <w:rPr>
          <w:rFonts w:cs="David" w:hint="eastAsia"/>
          <w:sz w:val="24"/>
          <w:szCs w:val="24"/>
          <w:rtl/>
        </w:rPr>
        <w:t>סקר</w:t>
      </w:r>
      <w:r w:rsidRPr="001522CB">
        <w:rPr>
          <w:rFonts w:cs="David"/>
          <w:sz w:val="24"/>
          <w:szCs w:val="24"/>
          <w:rtl/>
        </w:rPr>
        <w:t xml:space="preserve"> </w:t>
      </w:r>
      <w:r w:rsidRPr="001522CB">
        <w:rPr>
          <w:rFonts w:cs="David" w:hint="eastAsia"/>
          <w:sz w:val="24"/>
          <w:szCs w:val="24"/>
          <w:rtl/>
        </w:rPr>
        <w:t>סיכונים</w:t>
      </w:r>
      <w:r w:rsidRPr="001522CB">
        <w:rPr>
          <w:rFonts w:cs="David"/>
          <w:sz w:val="24"/>
          <w:szCs w:val="24"/>
          <w:rtl/>
        </w:rPr>
        <w:t xml:space="preserve"> </w:t>
      </w:r>
      <w:r w:rsidRPr="001522CB">
        <w:rPr>
          <w:rFonts w:cs="David" w:hint="eastAsia"/>
          <w:sz w:val="24"/>
          <w:szCs w:val="24"/>
          <w:rtl/>
        </w:rPr>
        <w:t>בנושא</w:t>
      </w:r>
      <w:r w:rsidRPr="001522CB">
        <w:rPr>
          <w:rFonts w:cs="David"/>
          <w:sz w:val="24"/>
          <w:szCs w:val="24"/>
          <w:rtl/>
        </w:rPr>
        <w:t xml:space="preserve"> </w:t>
      </w:r>
      <w:r w:rsidRPr="001522CB">
        <w:rPr>
          <w:rFonts w:cs="David" w:hint="eastAsia"/>
          <w:sz w:val="24"/>
          <w:szCs w:val="24"/>
          <w:rtl/>
        </w:rPr>
        <w:t>הונאות</w:t>
      </w:r>
      <w:r w:rsidRPr="001522CB">
        <w:rPr>
          <w:rFonts w:cs="David"/>
          <w:sz w:val="24"/>
          <w:szCs w:val="24"/>
          <w:rtl/>
        </w:rPr>
        <w:t xml:space="preserve"> </w:t>
      </w:r>
      <w:r w:rsidRPr="001522CB">
        <w:rPr>
          <w:rFonts w:cs="David" w:hint="eastAsia"/>
          <w:sz w:val="24"/>
          <w:szCs w:val="24"/>
          <w:rtl/>
        </w:rPr>
        <w:t>ומעילות</w:t>
      </w:r>
      <w:r w:rsidRPr="001522CB">
        <w:rPr>
          <w:rFonts w:cs="David"/>
          <w:sz w:val="24"/>
          <w:szCs w:val="24"/>
          <w:rtl/>
        </w:rPr>
        <w:t>.</w:t>
      </w:r>
    </w:p>
    <w:p w:rsidR="001522CB" w:rsidRDefault="001522CB" w:rsidP="007F390F">
      <w:pPr>
        <w:numPr>
          <w:ilvl w:val="0"/>
          <w:numId w:val="18"/>
        </w:numPr>
        <w:spacing w:after="360" w:line="360" w:lineRule="auto"/>
        <w:ind w:left="1300" w:hanging="425"/>
        <w:outlineLvl w:val="2"/>
        <w:rPr>
          <w:rFonts w:cs="David"/>
          <w:sz w:val="24"/>
          <w:szCs w:val="24"/>
        </w:rPr>
      </w:pPr>
      <w:r w:rsidRPr="001522CB">
        <w:rPr>
          <w:rFonts w:cs="David" w:hint="eastAsia"/>
          <w:sz w:val="24"/>
          <w:szCs w:val="24"/>
          <w:rtl/>
        </w:rPr>
        <w:t>לוודא</w:t>
      </w:r>
      <w:r w:rsidRPr="001522CB">
        <w:rPr>
          <w:rFonts w:cs="David"/>
          <w:sz w:val="24"/>
          <w:szCs w:val="24"/>
          <w:rtl/>
        </w:rPr>
        <w:t xml:space="preserve"> </w:t>
      </w:r>
      <w:r w:rsidRPr="001522CB">
        <w:rPr>
          <w:rFonts w:cs="David" w:hint="eastAsia"/>
          <w:sz w:val="24"/>
          <w:szCs w:val="24"/>
          <w:rtl/>
        </w:rPr>
        <w:t>קיומו</w:t>
      </w:r>
      <w:r w:rsidRPr="001522CB">
        <w:rPr>
          <w:rFonts w:cs="David"/>
          <w:sz w:val="24"/>
          <w:szCs w:val="24"/>
          <w:rtl/>
        </w:rPr>
        <w:t xml:space="preserve"> </w:t>
      </w:r>
      <w:r w:rsidRPr="001522CB">
        <w:rPr>
          <w:rFonts w:cs="David" w:hint="eastAsia"/>
          <w:sz w:val="24"/>
          <w:szCs w:val="24"/>
          <w:rtl/>
        </w:rPr>
        <w:t>של</w:t>
      </w:r>
      <w:r w:rsidRPr="001522CB">
        <w:rPr>
          <w:rFonts w:cs="David"/>
          <w:sz w:val="24"/>
          <w:szCs w:val="24"/>
          <w:rtl/>
        </w:rPr>
        <w:t xml:space="preserve"> </w:t>
      </w:r>
      <w:r w:rsidRPr="001522CB">
        <w:rPr>
          <w:rFonts w:cs="David" w:hint="eastAsia"/>
          <w:sz w:val="24"/>
          <w:szCs w:val="24"/>
          <w:rtl/>
        </w:rPr>
        <w:t>ערוץ</w:t>
      </w:r>
      <w:r w:rsidRPr="001522CB">
        <w:rPr>
          <w:rFonts w:cs="David"/>
          <w:sz w:val="24"/>
          <w:szCs w:val="24"/>
          <w:rtl/>
        </w:rPr>
        <w:t xml:space="preserve"> </w:t>
      </w:r>
      <w:r w:rsidRPr="001522CB">
        <w:rPr>
          <w:rFonts w:cs="David" w:hint="eastAsia"/>
          <w:sz w:val="24"/>
          <w:szCs w:val="24"/>
          <w:rtl/>
        </w:rPr>
        <w:t>תקשורת</w:t>
      </w:r>
      <w:r w:rsidRPr="001522CB">
        <w:rPr>
          <w:rFonts w:cs="David"/>
          <w:sz w:val="24"/>
          <w:szCs w:val="24"/>
          <w:rtl/>
        </w:rPr>
        <w:t xml:space="preserve"> </w:t>
      </w:r>
      <w:r w:rsidRPr="001522CB">
        <w:rPr>
          <w:rFonts w:cs="David" w:hint="eastAsia"/>
          <w:sz w:val="24"/>
          <w:szCs w:val="24"/>
          <w:rtl/>
        </w:rPr>
        <w:t>ישיר</w:t>
      </w:r>
      <w:r w:rsidRPr="001522CB">
        <w:rPr>
          <w:rFonts w:cs="David"/>
          <w:sz w:val="24"/>
          <w:szCs w:val="24"/>
          <w:rtl/>
        </w:rPr>
        <w:t xml:space="preserve"> (כגון: </w:t>
      </w:r>
      <w:r w:rsidRPr="001522CB">
        <w:rPr>
          <w:rFonts w:cs="David" w:hint="eastAsia"/>
          <w:sz w:val="24"/>
          <w:szCs w:val="24"/>
          <w:rtl/>
        </w:rPr>
        <w:t>קו</w:t>
      </w:r>
      <w:r w:rsidRPr="001522CB">
        <w:rPr>
          <w:rFonts w:cs="David"/>
          <w:sz w:val="24"/>
          <w:szCs w:val="24"/>
          <w:rtl/>
        </w:rPr>
        <w:t xml:space="preserve"> </w:t>
      </w:r>
      <w:r w:rsidRPr="001522CB">
        <w:rPr>
          <w:rFonts w:cs="David" w:hint="eastAsia"/>
          <w:sz w:val="24"/>
          <w:szCs w:val="24"/>
          <w:rtl/>
        </w:rPr>
        <w:t>חם</w:t>
      </w:r>
      <w:r w:rsidRPr="001522CB">
        <w:rPr>
          <w:rFonts w:cs="David"/>
          <w:sz w:val="24"/>
          <w:szCs w:val="24"/>
          <w:rtl/>
        </w:rPr>
        <w:t xml:space="preserve">, </w:t>
      </w:r>
      <w:r w:rsidRPr="001522CB">
        <w:rPr>
          <w:rFonts w:cs="David" w:hint="eastAsia"/>
          <w:sz w:val="24"/>
          <w:szCs w:val="24"/>
          <w:rtl/>
        </w:rPr>
        <w:t>תיבת</w:t>
      </w:r>
      <w:r w:rsidRPr="001522CB">
        <w:rPr>
          <w:rFonts w:cs="David"/>
          <w:sz w:val="24"/>
          <w:szCs w:val="24"/>
          <w:rtl/>
        </w:rPr>
        <w:t xml:space="preserve"> </w:t>
      </w:r>
      <w:r w:rsidRPr="001522CB">
        <w:rPr>
          <w:rFonts w:cs="David" w:hint="eastAsia"/>
          <w:sz w:val="24"/>
          <w:szCs w:val="24"/>
          <w:rtl/>
        </w:rPr>
        <w:t>תלונות</w:t>
      </w:r>
      <w:r w:rsidRPr="001522CB">
        <w:rPr>
          <w:rFonts w:cs="David"/>
          <w:sz w:val="24"/>
          <w:szCs w:val="24"/>
          <w:rtl/>
        </w:rPr>
        <w:t xml:space="preserve">) </w:t>
      </w:r>
      <w:r w:rsidRPr="001522CB">
        <w:rPr>
          <w:rFonts w:cs="David" w:hint="eastAsia"/>
          <w:sz w:val="24"/>
          <w:szCs w:val="24"/>
          <w:rtl/>
        </w:rPr>
        <w:t>לעובדי</w:t>
      </w:r>
      <w:r w:rsidRPr="001522CB">
        <w:rPr>
          <w:rFonts w:cs="David"/>
          <w:sz w:val="24"/>
          <w:szCs w:val="24"/>
          <w:rtl/>
        </w:rPr>
        <w:t xml:space="preserve"> </w:t>
      </w:r>
      <w:r w:rsidRPr="001522CB">
        <w:rPr>
          <w:rFonts w:cs="David" w:hint="eastAsia"/>
          <w:sz w:val="24"/>
          <w:szCs w:val="24"/>
          <w:rtl/>
        </w:rPr>
        <w:t>הגוף</w:t>
      </w:r>
      <w:r w:rsidRPr="001522CB">
        <w:rPr>
          <w:rFonts w:cs="David"/>
          <w:sz w:val="24"/>
          <w:szCs w:val="24"/>
          <w:rtl/>
        </w:rPr>
        <w:t xml:space="preserve"> </w:t>
      </w:r>
      <w:r w:rsidRPr="001522CB">
        <w:rPr>
          <w:rFonts w:cs="David" w:hint="eastAsia"/>
          <w:sz w:val="24"/>
          <w:szCs w:val="24"/>
          <w:rtl/>
        </w:rPr>
        <w:t>המוסדי</w:t>
      </w:r>
      <w:r w:rsidRPr="001522CB">
        <w:rPr>
          <w:rFonts w:cs="David"/>
          <w:sz w:val="24"/>
          <w:szCs w:val="24"/>
          <w:rtl/>
        </w:rPr>
        <w:t xml:space="preserve"> </w:t>
      </w:r>
      <w:r w:rsidRPr="001522CB">
        <w:rPr>
          <w:rFonts w:cs="David" w:hint="eastAsia"/>
          <w:sz w:val="24"/>
          <w:szCs w:val="24"/>
          <w:rtl/>
        </w:rPr>
        <w:t>המעוניינים</w:t>
      </w:r>
      <w:r w:rsidRPr="001522CB">
        <w:rPr>
          <w:rFonts w:cs="David"/>
          <w:sz w:val="24"/>
          <w:szCs w:val="24"/>
          <w:rtl/>
        </w:rPr>
        <w:t xml:space="preserve"> </w:t>
      </w:r>
      <w:r w:rsidRPr="001522CB">
        <w:rPr>
          <w:rFonts w:cs="David" w:hint="eastAsia"/>
          <w:sz w:val="24"/>
          <w:szCs w:val="24"/>
          <w:rtl/>
        </w:rPr>
        <w:t>לדווח</w:t>
      </w:r>
      <w:r w:rsidRPr="001522CB">
        <w:rPr>
          <w:rFonts w:cs="David"/>
          <w:sz w:val="24"/>
          <w:szCs w:val="24"/>
          <w:rtl/>
        </w:rPr>
        <w:t xml:space="preserve"> </w:t>
      </w:r>
      <w:r w:rsidRPr="001522CB">
        <w:rPr>
          <w:rFonts w:cs="David" w:hint="eastAsia"/>
          <w:sz w:val="24"/>
          <w:szCs w:val="24"/>
          <w:rtl/>
        </w:rPr>
        <w:t>על</w:t>
      </w:r>
      <w:r w:rsidRPr="001522CB">
        <w:rPr>
          <w:rFonts w:cs="David"/>
          <w:sz w:val="24"/>
          <w:szCs w:val="24"/>
          <w:rtl/>
        </w:rPr>
        <w:t xml:space="preserve"> </w:t>
      </w:r>
      <w:r w:rsidRPr="001522CB">
        <w:rPr>
          <w:rFonts w:cs="David" w:hint="eastAsia"/>
          <w:sz w:val="24"/>
          <w:szCs w:val="24"/>
          <w:rtl/>
        </w:rPr>
        <w:t>חשדות</w:t>
      </w:r>
      <w:r w:rsidRPr="001522CB">
        <w:rPr>
          <w:rFonts w:cs="David"/>
          <w:sz w:val="24"/>
          <w:szCs w:val="24"/>
          <w:rtl/>
        </w:rPr>
        <w:t xml:space="preserve"> </w:t>
      </w:r>
      <w:r w:rsidRPr="001522CB">
        <w:rPr>
          <w:rFonts w:cs="David" w:hint="eastAsia"/>
          <w:sz w:val="24"/>
          <w:szCs w:val="24"/>
          <w:rtl/>
        </w:rPr>
        <w:t>לאי</w:t>
      </w:r>
      <w:r w:rsidRPr="001522CB">
        <w:rPr>
          <w:rFonts w:cs="David"/>
          <w:sz w:val="24"/>
          <w:szCs w:val="24"/>
          <w:rtl/>
        </w:rPr>
        <w:t xml:space="preserve"> </w:t>
      </w:r>
      <w:r w:rsidRPr="001522CB">
        <w:rPr>
          <w:rFonts w:cs="David" w:hint="eastAsia"/>
          <w:sz w:val="24"/>
          <w:szCs w:val="24"/>
          <w:rtl/>
        </w:rPr>
        <w:t>סדרים</w:t>
      </w:r>
      <w:r w:rsidRPr="001522CB">
        <w:rPr>
          <w:rFonts w:cs="David"/>
          <w:sz w:val="24"/>
          <w:szCs w:val="24"/>
          <w:rtl/>
        </w:rPr>
        <w:t xml:space="preserve">, </w:t>
      </w:r>
      <w:r w:rsidRPr="001522CB">
        <w:rPr>
          <w:rFonts w:cs="David" w:hint="eastAsia"/>
          <w:sz w:val="24"/>
          <w:szCs w:val="24"/>
          <w:rtl/>
        </w:rPr>
        <w:t>ולהבטיח</w:t>
      </w:r>
      <w:r w:rsidRPr="001522CB">
        <w:rPr>
          <w:rFonts w:cs="David"/>
          <w:sz w:val="24"/>
          <w:szCs w:val="24"/>
          <w:rtl/>
        </w:rPr>
        <w:t xml:space="preserve"> </w:t>
      </w:r>
      <w:r w:rsidRPr="001522CB">
        <w:rPr>
          <w:rFonts w:cs="David" w:hint="eastAsia"/>
          <w:sz w:val="24"/>
          <w:szCs w:val="24"/>
          <w:rtl/>
        </w:rPr>
        <w:t>שמירת</w:t>
      </w:r>
      <w:r w:rsidRPr="001522CB">
        <w:rPr>
          <w:rFonts w:cs="David"/>
          <w:sz w:val="24"/>
          <w:szCs w:val="24"/>
          <w:rtl/>
        </w:rPr>
        <w:t xml:space="preserve"> </w:t>
      </w:r>
      <w:r w:rsidRPr="001522CB">
        <w:rPr>
          <w:rFonts w:cs="David" w:hint="eastAsia"/>
          <w:sz w:val="24"/>
          <w:szCs w:val="24"/>
          <w:rtl/>
        </w:rPr>
        <w:t>סודיות</w:t>
      </w:r>
      <w:r w:rsidRPr="001522CB">
        <w:rPr>
          <w:rFonts w:cs="David"/>
          <w:sz w:val="24"/>
          <w:szCs w:val="24"/>
          <w:rtl/>
        </w:rPr>
        <w:t xml:space="preserve"> </w:t>
      </w:r>
      <w:r w:rsidRPr="001522CB">
        <w:rPr>
          <w:rFonts w:cs="David" w:hint="eastAsia"/>
          <w:sz w:val="24"/>
          <w:szCs w:val="24"/>
          <w:rtl/>
        </w:rPr>
        <w:t>הדיווח</w:t>
      </w:r>
      <w:r w:rsidRPr="001522CB">
        <w:rPr>
          <w:rFonts w:cs="David"/>
          <w:sz w:val="24"/>
          <w:szCs w:val="24"/>
          <w:rtl/>
        </w:rPr>
        <w:t>.</w:t>
      </w:r>
    </w:p>
    <w:p w:rsidR="001522CB" w:rsidRPr="001522CB" w:rsidRDefault="001522CB" w:rsidP="007333F2">
      <w:pPr>
        <w:pStyle w:val="2"/>
        <w:numPr>
          <w:ilvl w:val="0"/>
          <w:numId w:val="23"/>
        </w:numPr>
        <w:rPr>
          <w:rtl/>
        </w:rPr>
      </w:pPr>
      <w:r w:rsidRPr="001522CB">
        <w:rPr>
          <w:rFonts w:hint="cs"/>
          <w:rtl/>
        </w:rPr>
        <w:t>נהלים פנימיים</w:t>
      </w:r>
    </w:p>
    <w:p w:rsidR="001522CB" w:rsidRPr="001522CB" w:rsidRDefault="001522CB" w:rsidP="007F390F">
      <w:pPr>
        <w:spacing w:after="360" w:line="360" w:lineRule="auto"/>
        <w:ind w:left="733"/>
        <w:rPr>
          <w:rFonts w:cs="David"/>
          <w:sz w:val="24"/>
          <w:szCs w:val="24"/>
        </w:rPr>
      </w:pPr>
      <w:r w:rsidRPr="001522CB">
        <w:rPr>
          <w:rFonts w:cs="David" w:hint="cs"/>
          <w:sz w:val="24"/>
          <w:szCs w:val="24"/>
          <w:rtl/>
        </w:rPr>
        <w:t xml:space="preserve">מדיניות הדירקטוריון למניעת הונאות ומעילות מצד גורמים בתוך הגוף המוסדי ומצד גורמים מחוצה לו תעוגן במערכת נהלים פנימיים, שתבטיח תמיכה בשלמות ובמהימנות המידע הפיננסי והתפעולי ותסייע במדידה, בזיהוי ובסיווג של הסיכונים האמורים. מערכת הנהלים הפנימיים תיערך בחתך תפקודי ובחתך נושאי, לפי תחומי פעילות. </w:t>
      </w:r>
    </w:p>
    <w:p w:rsidR="001522CB" w:rsidRPr="001522CB" w:rsidRDefault="001522CB" w:rsidP="001522CB">
      <w:pPr>
        <w:numPr>
          <w:ilvl w:val="1"/>
          <w:numId w:val="10"/>
        </w:numPr>
        <w:tabs>
          <w:tab w:val="num" w:pos="1300"/>
        </w:tabs>
        <w:spacing w:line="360" w:lineRule="auto"/>
        <w:ind w:left="1017"/>
        <w:outlineLvl w:val="2"/>
        <w:rPr>
          <w:rFonts w:cs="David"/>
          <w:b/>
          <w:bCs/>
          <w:sz w:val="24"/>
          <w:szCs w:val="24"/>
          <w:rtl/>
        </w:rPr>
      </w:pPr>
      <w:r w:rsidRPr="001522CB">
        <w:rPr>
          <w:rFonts w:cs="David" w:hint="cs"/>
          <w:b/>
          <w:bCs/>
          <w:sz w:val="24"/>
          <w:szCs w:val="24"/>
          <w:rtl/>
        </w:rPr>
        <w:t>נהלים פנימיים בחתך תפקודי</w:t>
      </w:r>
    </w:p>
    <w:p w:rsidR="001522CB" w:rsidRPr="001522CB" w:rsidRDefault="001522CB" w:rsidP="001522CB">
      <w:pPr>
        <w:numPr>
          <w:ilvl w:val="0"/>
          <w:numId w:val="12"/>
        </w:numPr>
        <w:spacing w:before="120" w:after="120" w:line="360" w:lineRule="auto"/>
        <w:ind w:left="1242"/>
        <w:contextualSpacing/>
        <w:rPr>
          <w:rFonts w:eastAsiaTheme="minorHAnsi" w:cs="David"/>
          <w:sz w:val="24"/>
          <w:szCs w:val="24"/>
          <w:rtl/>
          <w:lang w:eastAsia="en-US"/>
        </w:rPr>
      </w:pPr>
      <w:r w:rsidRPr="001522CB">
        <w:rPr>
          <w:rFonts w:eastAsiaTheme="minorHAnsi" w:cs="David" w:hint="cs"/>
          <w:sz w:val="24"/>
          <w:szCs w:val="24"/>
          <w:rtl/>
          <w:lang w:eastAsia="en-US"/>
        </w:rPr>
        <w:t xml:space="preserve">נהלים פנימיים בחתך זה יתייחסו לאפשרות של חשש מפני הונאה או מעילה מצד שלושה גורמים אפשריים: </w:t>
      </w:r>
    </w:p>
    <w:p w:rsidR="001522CB" w:rsidRPr="001522CB" w:rsidRDefault="001522CB" w:rsidP="007F390F">
      <w:pPr>
        <w:numPr>
          <w:ilvl w:val="4"/>
          <w:numId w:val="10"/>
        </w:numPr>
        <w:spacing w:before="120" w:after="120" w:line="360" w:lineRule="auto"/>
        <w:ind w:left="1700" w:hanging="426"/>
        <w:contextualSpacing/>
        <w:rPr>
          <w:rFonts w:eastAsiaTheme="minorHAnsi" w:cs="David"/>
          <w:sz w:val="24"/>
          <w:szCs w:val="24"/>
          <w:rtl/>
          <w:lang w:eastAsia="en-US"/>
        </w:rPr>
      </w:pPr>
      <w:r w:rsidRPr="001522CB">
        <w:rPr>
          <w:rFonts w:eastAsiaTheme="minorHAnsi" w:cs="David" w:hint="cs"/>
          <w:sz w:val="24"/>
          <w:szCs w:val="24"/>
          <w:rtl/>
          <w:lang w:eastAsia="en-US"/>
        </w:rPr>
        <w:t>עובדי הגוף המוסדי;</w:t>
      </w:r>
    </w:p>
    <w:p w:rsidR="001522CB" w:rsidRPr="001522CB" w:rsidRDefault="001522CB" w:rsidP="007F390F">
      <w:pPr>
        <w:numPr>
          <w:ilvl w:val="4"/>
          <w:numId w:val="10"/>
        </w:numPr>
        <w:spacing w:before="120" w:after="120" w:line="360" w:lineRule="auto"/>
        <w:ind w:left="1700" w:hanging="426"/>
        <w:contextualSpacing/>
        <w:rPr>
          <w:rFonts w:eastAsiaTheme="minorHAnsi" w:cs="David"/>
          <w:sz w:val="24"/>
          <w:szCs w:val="24"/>
          <w:rtl/>
          <w:lang w:eastAsia="en-US"/>
        </w:rPr>
      </w:pPr>
      <w:r w:rsidRPr="001522CB">
        <w:rPr>
          <w:rFonts w:eastAsiaTheme="minorHAnsi" w:cs="David" w:hint="cs"/>
          <w:sz w:val="24"/>
          <w:szCs w:val="24"/>
          <w:rtl/>
          <w:lang w:eastAsia="en-US"/>
        </w:rPr>
        <w:t xml:space="preserve">יועצים פנסיונים או סוכני ביטוח העוסקים בשיווק מוצרים פנסיוניים או בתיווך לעניין ביטוח מטעמו של הגוף המוסדי; </w:t>
      </w:r>
    </w:p>
    <w:p w:rsidR="001522CB" w:rsidRPr="001522CB" w:rsidRDefault="001522CB" w:rsidP="007F390F">
      <w:pPr>
        <w:numPr>
          <w:ilvl w:val="4"/>
          <w:numId w:val="10"/>
        </w:numPr>
        <w:spacing w:before="120" w:after="120" w:line="360" w:lineRule="auto"/>
        <w:ind w:left="1700" w:hanging="426"/>
        <w:contextualSpacing/>
        <w:rPr>
          <w:rFonts w:eastAsiaTheme="minorHAnsi" w:cs="David"/>
          <w:sz w:val="24"/>
          <w:szCs w:val="24"/>
          <w:rtl/>
          <w:lang w:eastAsia="en-US"/>
        </w:rPr>
      </w:pPr>
      <w:r w:rsidRPr="001522CB">
        <w:rPr>
          <w:rFonts w:eastAsiaTheme="minorHAnsi" w:cs="David" w:hint="cs"/>
          <w:sz w:val="24"/>
          <w:szCs w:val="24"/>
          <w:rtl/>
          <w:lang w:eastAsia="en-US"/>
        </w:rPr>
        <w:t xml:space="preserve">ספקי השירותים של הגוף המוסדי. </w:t>
      </w:r>
    </w:p>
    <w:p w:rsidR="001522CB" w:rsidRPr="001522CB" w:rsidRDefault="001522CB" w:rsidP="001522CB">
      <w:pPr>
        <w:numPr>
          <w:ilvl w:val="0"/>
          <w:numId w:val="12"/>
        </w:numPr>
        <w:spacing w:before="120" w:after="120" w:line="360" w:lineRule="auto"/>
        <w:ind w:left="1242"/>
        <w:contextualSpacing/>
        <w:rPr>
          <w:rFonts w:eastAsiaTheme="minorHAnsi" w:cs="David"/>
          <w:sz w:val="24"/>
          <w:szCs w:val="24"/>
          <w:rtl/>
          <w:lang w:eastAsia="en-US"/>
        </w:rPr>
      </w:pPr>
      <w:r w:rsidRPr="001522CB">
        <w:rPr>
          <w:rFonts w:eastAsiaTheme="minorHAnsi" w:cs="David" w:hint="cs"/>
          <w:sz w:val="24"/>
          <w:szCs w:val="24"/>
          <w:rtl/>
          <w:lang w:eastAsia="en-US"/>
        </w:rPr>
        <w:t>הנהלים המתייחסים לשלושת הגורמים לעיל יכללו, לפחות את הנושאים הבאים:</w:t>
      </w:r>
    </w:p>
    <w:p w:rsidR="001522CB" w:rsidRPr="001522CB" w:rsidRDefault="001522CB" w:rsidP="007F390F">
      <w:pPr>
        <w:numPr>
          <w:ilvl w:val="0"/>
          <w:numId w:val="14"/>
        </w:numPr>
        <w:spacing w:before="120" w:after="120" w:line="360" w:lineRule="auto"/>
        <w:ind w:left="1700" w:hanging="426"/>
        <w:contextualSpacing/>
        <w:rPr>
          <w:rFonts w:eastAsiaTheme="minorHAnsi" w:cs="David"/>
          <w:sz w:val="24"/>
          <w:szCs w:val="24"/>
          <w:lang w:eastAsia="en-US"/>
        </w:rPr>
      </w:pPr>
      <w:r w:rsidRPr="001522CB">
        <w:rPr>
          <w:rFonts w:eastAsiaTheme="minorHAnsi" w:cs="David" w:hint="cs"/>
          <w:sz w:val="24"/>
          <w:szCs w:val="24"/>
          <w:rtl/>
          <w:lang w:eastAsia="en-US"/>
        </w:rPr>
        <w:t xml:space="preserve">נהלים הנוגעים לעובדי הגוף המוסדי </w:t>
      </w:r>
    </w:p>
    <w:p w:rsidR="001522CB" w:rsidRPr="001522CB" w:rsidRDefault="001522CB" w:rsidP="007F390F">
      <w:pPr>
        <w:numPr>
          <w:ilvl w:val="3"/>
          <w:numId w:val="13"/>
        </w:numPr>
        <w:spacing w:before="120" w:after="120" w:line="360" w:lineRule="auto"/>
        <w:ind w:left="2125" w:hanging="425"/>
        <w:contextualSpacing/>
        <w:rPr>
          <w:rFonts w:eastAsiaTheme="minorHAnsi" w:cs="David"/>
          <w:sz w:val="24"/>
          <w:szCs w:val="24"/>
          <w:lang w:eastAsia="en-US"/>
        </w:rPr>
      </w:pPr>
      <w:r w:rsidRPr="001522CB">
        <w:rPr>
          <w:rFonts w:eastAsiaTheme="minorHAnsi" w:cs="David" w:hint="cs"/>
          <w:sz w:val="24"/>
          <w:szCs w:val="24"/>
          <w:rtl/>
          <w:lang w:eastAsia="en-US"/>
        </w:rPr>
        <w:lastRenderedPageBreak/>
        <w:t xml:space="preserve">קביעת מדרג סמכויות, מנגנוני דיווח והפרדת תפקידים בתחומי פעילות הגוף המוסדי, וכן קביעה ברורה של המורשים לפעול בשמו של הגוף המוסדי </w:t>
      </w:r>
      <w:proofErr w:type="spellStart"/>
      <w:r w:rsidRPr="001522CB">
        <w:rPr>
          <w:rFonts w:eastAsiaTheme="minorHAnsi" w:cs="David" w:hint="cs"/>
          <w:sz w:val="24"/>
          <w:szCs w:val="24"/>
          <w:rtl/>
          <w:lang w:eastAsia="en-US"/>
        </w:rPr>
        <w:t>ומורשי</w:t>
      </w:r>
      <w:proofErr w:type="spellEnd"/>
      <w:r w:rsidRPr="001522CB">
        <w:rPr>
          <w:rFonts w:eastAsiaTheme="minorHAnsi" w:cs="David" w:hint="cs"/>
          <w:sz w:val="24"/>
          <w:szCs w:val="24"/>
          <w:rtl/>
          <w:lang w:eastAsia="en-US"/>
        </w:rPr>
        <w:t xml:space="preserve"> החתימה מטעמו, ובפרט בתחומים אלה: גביה, יישוב תביעות ותשלומים, לרבות תשלומים לספקי שירותים וביצוע השקעות.</w:t>
      </w:r>
    </w:p>
    <w:p w:rsidR="001522CB" w:rsidRPr="001522CB" w:rsidRDefault="001522CB" w:rsidP="007F390F">
      <w:pPr>
        <w:numPr>
          <w:ilvl w:val="3"/>
          <w:numId w:val="13"/>
        </w:numPr>
        <w:spacing w:before="120" w:after="120" w:line="360" w:lineRule="auto"/>
        <w:ind w:left="2125" w:hanging="425"/>
        <w:contextualSpacing/>
        <w:rPr>
          <w:rFonts w:eastAsiaTheme="minorHAnsi" w:cs="David"/>
          <w:sz w:val="24"/>
          <w:szCs w:val="24"/>
          <w:lang w:eastAsia="en-US"/>
        </w:rPr>
      </w:pPr>
      <w:r w:rsidRPr="001522CB">
        <w:rPr>
          <w:rFonts w:eastAsiaTheme="minorHAnsi" w:cs="David" w:hint="cs"/>
          <w:sz w:val="24"/>
          <w:szCs w:val="24"/>
          <w:rtl/>
          <w:lang w:eastAsia="en-US"/>
        </w:rPr>
        <w:t>קביעת הפרדה בין הגורמים המוסמכים לאשר הוראות תשלום לבין הגורמים המבצעים בפועל את הוראות התשלום.</w:t>
      </w:r>
    </w:p>
    <w:p w:rsidR="001522CB" w:rsidRPr="001522CB" w:rsidRDefault="001522CB" w:rsidP="007F390F">
      <w:pPr>
        <w:numPr>
          <w:ilvl w:val="3"/>
          <w:numId w:val="13"/>
        </w:numPr>
        <w:spacing w:before="120" w:after="120" w:line="360" w:lineRule="auto"/>
        <w:ind w:left="2125" w:hanging="425"/>
        <w:contextualSpacing/>
        <w:rPr>
          <w:rFonts w:eastAsiaTheme="minorHAnsi" w:cs="David"/>
          <w:sz w:val="24"/>
          <w:szCs w:val="24"/>
          <w:lang w:eastAsia="en-US"/>
        </w:rPr>
      </w:pPr>
      <w:r w:rsidRPr="001522CB">
        <w:rPr>
          <w:rFonts w:eastAsiaTheme="minorHAnsi" w:cs="David" w:hint="cs"/>
          <w:sz w:val="24"/>
          <w:szCs w:val="24"/>
          <w:rtl/>
          <w:lang w:eastAsia="en-US"/>
        </w:rPr>
        <w:t>חיוב בחופשה רציפה</w:t>
      </w:r>
    </w:p>
    <w:p w:rsidR="001522CB" w:rsidRPr="001522CB" w:rsidRDefault="001522CB" w:rsidP="007F390F">
      <w:pPr>
        <w:numPr>
          <w:ilvl w:val="0"/>
          <w:numId w:val="14"/>
        </w:numPr>
        <w:spacing w:before="120" w:after="120" w:line="360" w:lineRule="auto"/>
        <w:ind w:left="1700" w:hanging="426"/>
        <w:contextualSpacing/>
        <w:rPr>
          <w:rFonts w:eastAsiaTheme="minorHAnsi" w:cs="David"/>
          <w:sz w:val="24"/>
          <w:szCs w:val="24"/>
          <w:lang w:eastAsia="en-US"/>
        </w:rPr>
      </w:pPr>
      <w:r w:rsidRPr="001522CB">
        <w:rPr>
          <w:rFonts w:eastAsiaTheme="minorHAnsi" w:cs="David" w:hint="cs"/>
          <w:sz w:val="24"/>
          <w:szCs w:val="24"/>
          <w:rtl/>
          <w:lang w:eastAsia="en-US"/>
        </w:rPr>
        <w:t xml:space="preserve">קביעת סוגי בעלי התפקידים ועובדי תחומים אשר יחויבו בחופשה רציפה, מעבר לחופשות מרוכזות, ובכלל זה בעלי התפקידים שהוגדרו כמורשים לפעול בשמו של הגוף המוסדי או </w:t>
      </w:r>
      <w:proofErr w:type="spellStart"/>
      <w:r w:rsidRPr="001522CB">
        <w:rPr>
          <w:rFonts w:eastAsiaTheme="minorHAnsi" w:cs="David" w:hint="cs"/>
          <w:sz w:val="24"/>
          <w:szCs w:val="24"/>
          <w:rtl/>
          <w:lang w:eastAsia="en-US"/>
        </w:rPr>
        <w:t>כמורשי</w:t>
      </w:r>
      <w:proofErr w:type="spellEnd"/>
      <w:r w:rsidRPr="001522CB">
        <w:rPr>
          <w:rFonts w:eastAsiaTheme="minorHAnsi" w:cs="David" w:hint="cs"/>
          <w:sz w:val="24"/>
          <w:szCs w:val="24"/>
          <w:rtl/>
          <w:lang w:eastAsia="en-US"/>
        </w:rPr>
        <w:t xml:space="preserve"> חתימה מטעמו כמפורט בסעיף </w:t>
      </w:r>
      <w:r w:rsidRPr="00751FC9">
        <w:rPr>
          <w:rFonts w:eastAsiaTheme="minorHAnsi" w:cs="David" w:hint="cs"/>
          <w:strike/>
          <w:sz w:val="24"/>
          <w:szCs w:val="24"/>
          <w:rtl/>
          <w:lang w:eastAsia="en-US"/>
        </w:rPr>
        <w:t>4א1)א)</w:t>
      </w:r>
      <w:r w:rsidR="00751FC9">
        <w:rPr>
          <w:rFonts w:eastAsiaTheme="minorHAnsi" w:cs="David" w:hint="cs"/>
          <w:sz w:val="24"/>
          <w:szCs w:val="24"/>
          <w:u w:val="single"/>
          <w:rtl/>
          <w:lang w:eastAsia="en-US"/>
        </w:rPr>
        <w:t>2(1)(ב)(1)(א) לעיל</w:t>
      </w:r>
      <w:r w:rsidRPr="001522CB">
        <w:rPr>
          <w:rFonts w:eastAsiaTheme="minorHAnsi" w:cs="David" w:hint="cs"/>
          <w:sz w:val="24"/>
          <w:szCs w:val="24"/>
          <w:rtl/>
          <w:lang w:eastAsia="en-US"/>
        </w:rPr>
        <w:t>, הכול בכפוף למדיניות שקבע הדירקטוריון.</w:t>
      </w:r>
    </w:p>
    <w:p w:rsidR="001522CB" w:rsidRPr="001522CB" w:rsidRDefault="001522CB" w:rsidP="007F390F">
      <w:pPr>
        <w:numPr>
          <w:ilvl w:val="0"/>
          <w:numId w:val="14"/>
        </w:numPr>
        <w:spacing w:before="120" w:after="120" w:line="360" w:lineRule="auto"/>
        <w:ind w:left="1700" w:hanging="426"/>
        <w:contextualSpacing/>
        <w:rPr>
          <w:rFonts w:eastAsiaTheme="minorHAnsi" w:cs="David"/>
          <w:sz w:val="24"/>
          <w:szCs w:val="24"/>
          <w:lang w:eastAsia="en-US"/>
        </w:rPr>
      </w:pPr>
      <w:r w:rsidRPr="001522CB">
        <w:rPr>
          <w:rFonts w:eastAsiaTheme="minorHAnsi" w:cs="David" w:hint="cs"/>
          <w:sz w:val="24"/>
          <w:szCs w:val="24"/>
          <w:rtl/>
          <w:lang w:eastAsia="en-US"/>
        </w:rPr>
        <w:t xml:space="preserve">קביעת משך תקופת החופשה הרציפה המינימאלית לפי סוגי בעלי תפקידים ותחומי עיסוק, כאמור בסעיף קטן (1). </w:t>
      </w:r>
    </w:p>
    <w:p w:rsidR="00FB752D" w:rsidRDefault="001522CB" w:rsidP="00FB752D">
      <w:pPr>
        <w:numPr>
          <w:ilvl w:val="0"/>
          <w:numId w:val="14"/>
        </w:numPr>
        <w:spacing w:before="120" w:after="120" w:line="360" w:lineRule="auto"/>
        <w:ind w:left="1700" w:hanging="426"/>
        <w:contextualSpacing/>
        <w:rPr>
          <w:rFonts w:eastAsiaTheme="minorHAnsi" w:cs="David"/>
          <w:sz w:val="24"/>
          <w:szCs w:val="24"/>
          <w:lang w:eastAsia="en-US"/>
        </w:rPr>
      </w:pPr>
      <w:r w:rsidRPr="001522CB">
        <w:rPr>
          <w:rFonts w:eastAsiaTheme="minorHAnsi" w:cs="David" w:hint="cs"/>
          <w:sz w:val="24"/>
          <w:szCs w:val="24"/>
          <w:rtl/>
          <w:lang w:eastAsia="en-US"/>
        </w:rPr>
        <w:t xml:space="preserve">קביעת מערכת בקרה ודיווח על יישום חובת היציאה לחופשה רציפה, כאמור לעיל. </w:t>
      </w:r>
    </w:p>
    <w:p w:rsidR="00FB752D" w:rsidRDefault="001522CB" w:rsidP="00FB752D">
      <w:pPr>
        <w:numPr>
          <w:ilvl w:val="0"/>
          <w:numId w:val="14"/>
        </w:numPr>
        <w:spacing w:before="120" w:after="120" w:line="360" w:lineRule="auto"/>
        <w:ind w:left="1700" w:hanging="426"/>
        <w:contextualSpacing/>
        <w:rPr>
          <w:rFonts w:eastAsiaTheme="minorHAnsi" w:cs="David"/>
          <w:sz w:val="24"/>
          <w:szCs w:val="24"/>
          <w:lang w:eastAsia="en-US"/>
        </w:rPr>
      </w:pPr>
      <w:r w:rsidRPr="001522CB">
        <w:rPr>
          <w:rFonts w:eastAsiaTheme="minorHAnsi" w:cs="David" w:hint="cs"/>
          <w:sz w:val="24"/>
          <w:szCs w:val="24"/>
          <w:rtl/>
          <w:lang w:eastAsia="en-US"/>
        </w:rPr>
        <w:t>קביעת נהלים לגבי תהליכי קליטת עובדים חדשים ובדיקת עברם.</w:t>
      </w:r>
    </w:p>
    <w:p w:rsidR="001522CB" w:rsidRPr="001522CB" w:rsidRDefault="001522CB" w:rsidP="00FB752D">
      <w:pPr>
        <w:numPr>
          <w:ilvl w:val="0"/>
          <w:numId w:val="14"/>
        </w:numPr>
        <w:spacing w:before="120" w:after="120" w:line="360" w:lineRule="auto"/>
        <w:ind w:left="1700" w:hanging="426"/>
        <w:contextualSpacing/>
        <w:rPr>
          <w:rFonts w:eastAsiaTheme="minorHAnsi" w:cs="David"/>
          <w:sz w:val="24"/>
          <w:szCs w:val="24"/>
          <w:lang w:eastAsia="en-US"/>
        </w:rPr>
      </w:pPr>
      <w:r w:rsidRPr="001522CB">
        <w:rPr>
          <w:rFonts w:eastAsiaTheme="minorHAnsi" w:cs="David" w:hint="cs"/>
          <w:sz w:val="24"/>
          <w:szCs w:val="24"/>
          <w:rtl/>
          <w:lang w:eastAsia="en-US"/>
        </w:rPr>
        <w:t xml:space="preserve">נהלים הנוגעים ליועצים פנסיונים או סוכני ביטוח העוסקים בשיווק מוצרים פנסיוניים או בתיווך לעניין ביטוח מטעמו של הגוף המוסדי, ובכלל זה: </w:t>
      </w:r>
    </w:p>
    <w:p w:rsidR="001522CB" w:rsidRPr="001522CB" w:rsidRDefault="001522CB" w:rsidP="001522CB">
      <w:pPr>
        <w:numPr>
          <w:ilvl w:val="3"/>
          <w:numId w:val="15"/>
        </w:numPr>
        <w:spacing w:before="120" w:after="120" w:line="360" w:lineRule="auto"/>
        <w:ind w:left="1962"/>
        <w:contextualSpacing/>
        <w:rPr>
          <w:rFonts w:eastAsiaTheme="minorHAnsi" w:cs="David"/>
          <w:sz w:val="24"/>
          <w:szCs w:val="24"/>
          <w:lang w:eastAsia="en-US"/>
        </w:rPr>
      </w:pPr>
      <w:r w:rsidRPr="001522CB">
        <w:rPr>
          <w:rFonts w:eastAsiaTheme="minorHAnsi" w:cs="David" w:hint="cs"/>
          <w:sz w:val="24"/>
          <w:szCs w:val="24"/>
          <w:rtl/>
          <w:lang w:eastAsia="en-US"/>
        </w:rPr>
        <w:t>קביעת סמכויות היועצים הפנסיונים וסוכני הביטוח;</w:t>
      </w:r>
    </w:p>
    <w:p w:rsidR="001522CB" w:rsidRPr="001522CB" w:rsidRDefault="001522CB" w:rsidP="001522CB">
      <w:pPr>
        <w:numPr>
          <w:ilvl w:val="3"/>
          <w:numId w:val="9"/>
        </w:numPr>
        <w:spacing w:before="120" w:after="120" w:line="360" w:lineRule="auto"/>
        <w:ind w:left="1962"/>
        <w:contextualSpacing/>
        <w:rPr>
          <w:rFonts w:eastAsiaTheme="minorHAnsi" w:cs="David"/>
          <w:sz w:val="24"/>
          <w:szCs w:val="24"/>
          <w:lang w:eastAsia="en-US"/>
        </w:rPr>
      </w:pPr>
      <w:r w:rsidRPr="001522CB">
        <w:rPr>
          <w:rFonts w:eastAsiaTheme="minorHAnsi" w:cs="David" w:hint="cs"/>
          <w:sz w:val="24"/>
          <w:szCs w:val="24"/>
          <w:rtl/>
          <w:lang w:eastAsia="en-US"/>
        </w:rPr>
        <w:t>קביעת דרכי העברת מידע, פרמיות וכספי חסכון מהיועצים הפנסיונים וסוכני הביטוח לגוף המוסדי, בכפוף להוראות הדין;</w:t>
      </w:r>
    </w:p>
    <w:p w:rsidR="001522CB" w:rsidRPr="001522CB" w:rsidRDefault="001522CB" w:rsidP="001522CB">
      <w:pPr>
        <w:numPr>
          <w:ilvl w:val="3"/>
          <w:numId w:val="9"/>
        </w:numPr>
        <w:spacing w:before="120" w:after="120" w:line="360" w:lineRule="auto"/>
        <w:ind w:left="1962"/>
        <w:contextualSpacing/>
        <w:rPr>
          <w:rFonts w:eastAsiaTheme="minorHAnsi" w:cs="David"/>
          <w:sz w:val="24"/>
          <w:szCs w:val="24"/>
          <w:lang w:eastAsia="en-US"/>
        </w:rPr>
      </w:pPr>
      <w:r w:rsidRPr="001522CB">
        <w:rPr>
          <w:rFonts w:eastAsiaTheme="minorHAnsi" w:cs="David" w:hint="cs"/>
          <w:sz w:val="24"/>
          <w:szCs w:val="24"/>
          <w:rtl/>
          <w:lang w:eastAsia="en-US"/>
        </w:rPr>
        <w:t>קביעת נהלים מיוחדים הנוגעים לסוכנים חתמים ולסוכנים המוסמכים ליישב תביעות;</w:t>
      </w:r>
    </w:p>
    <w:p w:rsidR="001522CB" w:rsidRPr="001522CB" w:rsidRDefault="001522CB" w:rsidP="001522CB">
      <w:pPr>
        <w:numPr>
          <w:ilvl w:val="3"/>
          <w:numId w:val="9"/>
        </w:numPr>
        <w:spacing w:before="120" w:after="120" w:line="360" w:lineRule="auto"/>
        <w:ind w:left="1962"/>
        <w:contextualSpacing/>
        <w:rPr>
          <w:rFonts w:eastAsiaTheme="minorHAnsi" w:cs="David"/>
          <w:sz w:val="24"/>
          <w:szCs w:val="24"/>
          <w:lang w:eastAsia="en-US"/>
        </w:rPr>
      </w:pPr>
      <w:r w:rsidRPr="001522CB">
        <w:rPr>
          <w:rFonts w:eastAsiaTheme="minorHAnsi" w:cs="David" w:hint="cs"/>
          <w:sz w:val="24"/>
          <w:szCs w:val="24"/>
          <w:rtl/>
          <w:lang w:eastAsia="en-US"/>
        </w:rPr>
        <w:t>קביעת בקרות לנושאים המנויים לעיל.</w:t>
      </w:r>
    </w:p>
    <w:p w:rsidR="00FB752D" w:rsidRDefault="001522CB" w:rsidP="00FB752D">
      <w:pPr>
        <w:numPr>
          <w:ilvl w:val="0"/>
          <w:numId w:val="14"/>
        </w:numPr>
        <w:spacing w:before="120" w:after="120" w:line="360" w:lineRule="auto"/>
        <w:ind w:left="1700" w:hanging="426"/>
        <w:contextualSpacing/>
        <w:rPr>
          <w:rFonts w:eastAsiaTheme="minorHAnsi" w:cs="David"/>
          <w:sz w:val="24"/>
          <w:szCs w:val="24"/>
          <w:lang w:eastAsia="en-US"/>
        </w:rPr>
      </w:pPr>
      <w:r w:rsidRPr="001522CB">
        <w:rPr>
          <w:rFonts w:eastAsiaTheme="minorHAnsi" w:cs="David" w:hint="cs"/>
          <w:sz w:val="24"/>
          <w:szCs w:val="24"/>
          <w:rtl/>
          <w:lang w:eastAsia="en-US"/>
        </w:rPr>
        <w:t xml:space="preserve">נהלים הנוגעים לספקי השירותים של הגוף המוסדי </w:t>
      </w:r>
    </w:p>
    <w:p w:rsidR="00FB752D" w:rsidRDefault="001522CB" w:rsidP="00FB752D">
      <w:pPr>
        <w:numPr>
          <w:ilvl w:val="0"/>
          <w:numId w:val="14"/>
        </w:numPr>
        <w:spacing w:before="120" w:after="360" w:line="360" w:lineRule="auto"/>
        <w:ind w:left="1700" w:hanging="426"/>
        <w:contextualSpacing/>
        <w:rPr>
          <w:rFonts w:eastAsiaTheme="minorHAnsi" w:cs="David"/>
          <w:sz w:val="24"/>
          <w:szCs w:val="24"/>
          <w:lang w:eastAsia="en-US"/>
        </w:rPr>
      </w:pPr>
      <w:r w:rsidRPr="001522CB">
        <w:rPr>
          <w:rFonts w:cs="David" w:hint="cs"/>
          <w:sz w:val="24"/>
          <w:szCs w:val="24"/>
          <w:rtl/>
        </w:rPr>
        <w:t>קביעת מערכת יחסי הגומלין בין ספקי השירותים לבין הגוף מוסדי, לרבות אופן העברת מידע ביניהם, וקביעת שיטות העבודה של הגוף מוסדי מול הספקים.</w:t>
      </w:r>
    </w:p>
    <w:p w:rsidR="00FB752D" w:rsidRPr="001522CB" w:rsidRDefault="00FB752D" w:rsidP="00FB752D">
      <w:pPr>
        <w:spacing w:before="120" w:after="360" w:line="360" w:lineRule="auto"/>
        <w:contextualSpacing/>
        <w:rPr>
          <w:rFonts w:eastAsiaTheme="minorHAnsi" w:cs="David"/>
          <w:sz w:val="24"/>
          <w:szCs w:val="24"/>
          <w:rtl/>
          <w:lang w:eastAsia="en-US"/>
        </w:rPr>
      </w:pPr>
    </w:p>
    <w:p w:rsidR="001522CB" w:rsidRPr="001522CB" w:rsidRDefault="001522CB" w:rsidP="00FB752D">
      <w:pPr>
        <w:numPr>
          <w:ilvl w:val="1"/>
          <w:numId w:val="10"/>
        </w:numPr>
        <w:tabs>
          <w:tab w:val="num" w:pos="1017"/>
        </w:tabs>
        <w:spacing w:before="360" w:line="360" w:lineRule="auto"/>
        <w:ind w:left="1017" w:hanging="426"/>
        <w:outlineLvl w:val="2"/>
        <w:rPr>
          <w:rFonts w:cs="David"/>
          <w:b/>
          <w:bCs/>
          <w:sz w:val="24"/>
          <w:szCs w:val="24"/>
          <w:rtl/>
        </w:rPr>
      </w:pPr>
      <w:r w:rsidRPr="001522CB">
        <w:rPr>
          <w:rFonts w:cs="David" w:hint="cs"/>
          <w:b/>
          <w:bCs/>
          <w:sz w:val="24"/>
          <w:szCs w:val="24"/>
          <w:rtl/>
        </w:rPr>
        <w:t>נהלים פנימיים בחתך נושאי, לפי תחומי פעילות</w:t>
      </w:r>
    </w:p>
    <w:p w:rsidR="001522CB" w:rsidRPr="001522CB" w:rsidRDefault="001522CB" w:rsidP="00FB752D">
      <w:pPr>
        <w:spacing w:after="360" w:line="360" w:lineRule="auto"/>
        <w:ind w:left="1017"/>
        <w:rPr>
          <w:rFonts w:cs="David"/>
          <w:bCs/>
          <w:sz w:val="24"/>
          <w:szCs w:val="24"/>
        </w:rPr>
      </w:pPr>
      <w:r w:rsidRPr="001522CB">
        <w:rPr>
          <w:rFonts w:cs="David" w:hint="cs"/>
          <w:sz w:val="24"/>
          <w:szCs w:val="24"/>
          <w:rtl/>
        </w:rPr>
        <w:t>נהלים פנימיים בחתך זה יתייחסו לתחומי הפעילות השונים (לרבות: השקעות, הלוואות, מערכות מידע, ניהול תביעות, ניהול כספים וכדו'), כהשלמה למערך הנהלים הפנימיים בחתך התפקודי תוך מטרה למזער את הפוטנציאל למעילות והונאות.</w:t>
      </w:r>
    </w:p>
    <w:p w:rsidR="00033CEF" w:rsidRPr="00033CEF" w:rsidRDefault="000524C4" w:rsidP="009E0AEA">
      <w:pPr>
        <w:pStyle w:val="2"/>
        <w:ind w:left="424" w:firstLine="0"/>
        <w:rPr>
          <w:strike/>
          <w:rtl/>
        </w:rPr>
      </w:pPr>
      <w:r>
        <w:rPr>
          <w:rFonts w:hint="cs"/>
          <w:strike/>
          <w:rtl/>
        </w:rPr>
        <w:t xml:space="preserve">3. </w:t>
      </w:r>
      <w:r w:rsidR="00033CEF" w:rsidRPr="00033CEF">
        <w:rPr>
          <w:rFonts w:hint="cs"/>
          <w:strike/>
          <w:rtl/>
        </w:rPr>
        <w:t>סקר סיכונים</w:t>
      </w:r>
    </w:p>
    <w:p w:rsidR="00033CEF" w:rsidRPr="00033CEF" w:rsidRDefault="00033CEF" w:rsidP="00033CEF">
      <w:pPr>
        <w:spacing w:line="360" w:lineRule="auto"/>
        <w:ind w:left="733"/>
        <w:rPr>
          <w:rFonts w:cs="David"/>
          <w:strike/>
          <w:sz w:val="24"/>
          <w:szCs w:val="24"/>
          <w:rtl/>
        </w:rPr>
      </w:pPr>
      <w:r w:rsidRPr="00033CEF">
        <w:rPr>
          <w:rFonts w:cs="David" w:hint="cs"/>
          <w:strike/>
          <w:sz w:val="24"/>
          <w:szCs w:val="24"/>
          <w:rtl/>
        </w:rPr>
        <w:t xml:space="preserve">גוף מוסדי יערוך עד ליום 31 בדצמבר 2007, סקר סיכונים בנושא הונאות ומעילות, שממצאיו יועברו לוועדת הביקורת של דירקטוריון הגוף המוסדי. </w:t>
      </w:r>
    </w:p>
    <w:p w:rsidR="00033CEF" w:rsidRPr="00033CEF" w:rsidRDefault="00033CEF" w:rsidP="00033CEF">
      <w:pPr>
        <w:spacing w:line="360" w:lineRule="auto"/>
        <w:ind w:left="733"/>
        <w:rPr>
          <w:rFonts w:cs="David"/>
          <w:strike/>
          <w:sz w:val="24"/>
          <w:szCs w:val="24"/>
          <w:rtl/>
        </w:rPr>
      </w:pPr>
      <w:r w:rsidRPr="00033CEF">
        <w:rPr>
          <w:rFonts w:cs="David" w:hint="cs"/>
          <w:strike/>
          <w:sz w:val="24"/>
          <w:szCs w:val="24"/>
          <w:rtl/>
        </w:rPr>
        <w:t>סקר הסיכונים יתייחס לפחות לשני הרבדים הבאים: כוח-אדם ותהליכי עבודה.</w:t>
      </w:r>
    </w:p>
    <w:p w:rsidR="00033CEF" w:rsidRDefault="00033CEF" w:rsidP="00033CEF">
      <w:pPr>
        <w:spacing w:line="360" w:lineRule="auto"/>
        <w:ind w:left="733"/>
        <w:rPr>
          <w:rFonts w:cs="David"/>
          <w:strike/>
          <w:sz w:val="24"/>
          <w:szCs w:val="24"/>
          <w:rtl/>
        </w:rPr>
      </w:pPr>
      <w:r w:rsidRPr="00033CEF">
        <w:rPr>
          <w:rFonts w:cs="David" w:hint="cs"/>
          <w:strike/>
          <w:sz w:val="24"/>
          <w:szCs w:val="24"/>
          <w:rtl/>
        </w:rPr>
        <w:t>סקר הסיכונים ישמר בגוף המוסדי.</w:t>
      </w:r>
    </w:p>
    <w:p w:rsidR="006D751D" w:rsidRPr="00033CEF" w:rsidRDefault="006D751D" w:rsidP="00033CEF">
      <w:pPr>
        <w:spacing w:line="360" w:lineRule="auto"/>
        <w:ind w:left="733"/>
        <w:rPr>
          <w:rFonts w:cs="David"/>
          <w:strike/>
          <w:sz w:val="24"/>
          <w:szCs w:val="24"/>
          <w:rtl/>
        </w:rPr>
      </w:pPr>
    </w:p>
    <w:p w:rsidR="00033CEF" w:rsidRPr="00033CEF" w:rsidRDefault="00033CEF" w:rsidP="000524C4">
      <w:pPr>
        <w:pStyle w:val="2"/>
        <w:numPr>
          <w:ilvl w:val="0"/>
          <w:numId w:val="23"/>
        </w:numPr>
        <w:rPr>
          <w:rtl/>
        </w:rPr>
      </w:pPr>
      <w:r w:rsidRPr="00033CEF">
        <w:rPr>
          <w:rFonts w:hint="cs"/>
          <w:strike/>
          <w:rtl/>
        </w:rPr>
        <w:t>4.</w:t>
      </w:r>
      <w:r w:rsidRPr="00033CEF">
        <w:rPr>
          <w:rFonts w:hint="cs"/>
          <w:rtl/>
        </w:rPr>
        <w:t xml:space="preserve"> המבקר הפנימי</w:t>
      </w:r>
    </w:p>
    <w:p w:rsidR="009E0AEA" w:rsidRDefault="001522CB" w:rsidP="009E0AEA">
      <w:pPr>
        <w:spacing w:after="360" w:line="360" w:lineRule="auto"/>
        <w:ind w:left="733"/>
        <w:rPr>
          <w:rFonts w:cs="David"/>
          <w:sz w:val="24"/>
          <w:szCs w:val="24"/>
          <w:rtl/>
        </w:rPr>
      </w:pPr>
      <w:r w:rsidRPr="001522CB">
        <w:rPr>
          <w:rFonts w:cs="David" w:hint="cs"/>
          <w:sz w:val="24"/>
          <w:szCs w:val="24"/>
          <w:rtl/>
        </w:rPr>
        <w:lastRenderedPageBreak/>
        <w:t>ההצעה לתכנית עבודה שנתית או תקופתית, שמגיש המבקר הפנימי לאישור הדירקטוריון או ועדת הביקורת, תתבסס על הערכת סיכוני הונאות ומעילות בגוף המוסדי, בין השאר בהתבסס על ממצאי סקר הסיכונים כאמור בסעיף</w:t>
      </w:r>
      <w:r w:rsidR="00242B4F">
        <w:rPr>
          <w:rFonts w:cs="David" w:hint="cs"/>
          <w:sz w:val="24"/>
          <w:szCs w:val="24"/>
          <w:rtl/>
        </w:rPr>
        <w:t xml:space="preserve"> </w:t>
      </w:r>
      <w:r w:rsidR="00242B4F" w:rsidRPr="00242B4F">
        <w:rPr>
          <w:rFonts w:cs="David" w:hint="cs"/>
          <w:strike/>
          <w:sz w:val="24"/>
          <w:szCs w:val="24"/>
          <w:rtl/>
        </w:rPr>
        <w:t>5</w:t>
      </w:r>
      <w:r w:rsidRPr="001522CB">
        <w:rPr>
          <w:rFonts w:cs="David" w:hint="cs"/>
          <w:sz w:val="24"/>
          <w:szCs w:val="24"/>
          <w:rtl/>
        </w:rPr>
        <w:t xml:space="preserve"> </w:t>
      </w:r>
      <w:r w:rsidRPr="00242B4F">
        <w:rPr>
          <w:rFonts w:cs="David" w:hint="cs"/>
          <w:sz w:val="24"/>
          <w:szCs w:val="24"/>
          <w:u w:val="single"/>
          <w:rtl/>
        </w:rPr>
        <w:t>1(ב)</w:t>
      </w:r>
      <w:r w:rsidRPr="001522CB">
        <w:rPr>
          <w:rFonts w:cs="David" w:hint="cs"/>
          <w:sz w:val="24"/>
          <w:szCs w:val="24"/>
          <w:rtl/>
        </w:rPr>
        <w:t xml:space="preserve"> לעיל, לאחר קבלתו. </w:t>
      </w:r>
    </w:p>
    <w:p w:rsidR="00C62120" w:rsidRPr="000524C4" w:rsidRDefault="000524C4" w:rsidP="000524C4">
      <w:pPr>
        <w:pStyle w:val="2"/>
        <w:numPr>
          <w:ilvl w:val="0"/>
          <w:numId w:val="23"/>
        </w:numPr>
        <w:rPr>
          <w:rFonts w:eastAsia="Times New Roman"/>
          <w:rtl/>
        </w:rPr>
      </w:pPr>
      <w:r w:rsidRPr="000524C4">
        <w:rPr>
          <w:rFonts w:hint="cs"/>
          <w:strike/>
          <w:rtl/>
        </w:rPr>
        <w:t>5.</w:t>
      </w:r>
      <w:r>
        <w:rPr>
          <w:rFonts w:hint="cs"/>
          <w:rtl/>
        </w:rPr>
        <w:t xml:space="preserve"> </w:t>
      </w:r>
      <w:r w:rsidR="00C62120" w:rsidRPr="000524C4">
        <w:rPr>
          <w:rtl/>
        </w:rPr>
        <w:t>דיווח לממונה על גילוי של הונאה או מעילה בגוף המוסדי</w:t>
      </w:r>
    </w:p>
    <w:p w:rsidR="001522CB" w:rsidRPr="001522CB" w:rsidRDefault="001522CB" w:rsidP="00FB752D">
      <w:pPr>
        <w:numPr>
          <w:ilvl w:val="0"/>
          <w:numId w:val="16"/>
        </w:numPr>
        <w:spacing w:line="360" w:lineRule="auto"/>
        <w:ind w:left="1133" w:hanging="426"/>
        <w:outlineLvl w:val="2"/>
        <w:rPr>
          <w:rFonts w:cs="David"/>
          <w:sz w:val="24"/>
          <w:szCs w:val="24"/>
        </w:rPr>
      </w:pPr>
      <w:r w:rsidRPr="001522CB">
        <w:rPr>
          <w:rFonts w:cs="David" w:hint="cs"/>
          <w:sz w:val="24"/>
          <w:szCs w:val="24"/>
          <w:rtl/>
        </w:rPr>
        <w:t xml:space="preserve">גוף מוסדי ידווח לממונה על כל גילוי של הונאה או מעילה בגוף המוסדי (להלן </w:t>
      </w:r>
      <w:r w:rsidRPr="001522CB">
        <w:rPr>
          <w:rFonts w:cs="David"/>
          <w:sz w:val="24"/>
          <w:szCs w:val="24"/>
          <w:rtl/>
        </w:rPr>
        <w:t>–</w:t>
      </w:r>
      <w:r w:rsidRPr="001522CB">
        <w:rPr>
          <w:rFonts w:cs="David" w:hint="cs"/>
          <w:sz w:val="24"/>
          <w:szCs w:val="24"/>
          <w:rtl/>
        </w:rPr>
        <w:t xml:space="preserve"> </w:t>
      </w:r>
      <w:r w:rsidRPr="001522CB">
        <w:rPr>
          <w:rFonts w:cs="David"/>
          <w:b/>
          <w:bCs/>
          <w:sz w:val="24"/>
          <w:szCs w:val="24"/>
          <w:rtl/>
        </w:rPr>
        <w:t>'האירוע'</w:t>
      </w:r>
      <w:r w:rsidRPr="001522CB">
        <w:rPr>
          <w:rFonts w:cs="David" w:hint="cs"/>
          <w:sz w:val="24"/>
          <w:szCs w:val="24"/>
          <w:rtl/>
        </w:rPr>
        <w:t>), אם קיים חשד סביר למעורבות של נושא משרה או עובד הגוף המוסדי, של יועץ פנסיוני או של סוכן ביטוח העוסק בשיווק מוצר פנסיוני או בתיווך לעניין ביטוח מטעמו של הגוף המוסדי או של ספק שירותים, וזאת כאשר האירוע נוגע לסכום של 20,000 ₪ או יותר.</w:t>
      </w:r>
    </w:p>
    <w:p w:rsidR="001522CB" w:rsidRPr="001522CB" w:rsidRDefault="001522CB" w:rsidP="00FB752D">
      <w:pPr>
        <w:numPr>
          <w:ilvl w:val="0"/>
          <w:numId w:val="16"/>
        </w:numPr>
        <w:spacing w:line="360" w:lineRule="auto"/>
        <w:ind w:left="1133" w:hanging="426"/>
        <w:outlineLvl w:val="2"/>
        <w:rPr>
          <w:rFonts w:cs="David"/>
          <w:b/>
          <w:bCs/>
          <w:sz w:val="24"/>
          <w:szCs w:val="24"/>
          <w:rtl/>
        </w:rPr>
      </w:pPr>
      <w:r w:rsidRPr="001522CB">
        <w:rPr>
          <w:rFonts w:cs="David" w:hint="eastAsia"/>
          <w:sz w:val="24"/>
          <w:szCs w:val="24"/>
          <w:rtl/>
        </w:rPr>
        <w:t>דיווח</w:t>
      </w:r>
      <w:r w:rsidRPr="001522CB">
        <w:rPr>
          <w:rFonts w:cs="David"/>
          <w:sz w:val="24"/>
          <w:szCs w:val="24"/>
          <w:rtl/>
        </w:rPr>
        <w:t xml:space="preserve"> </w:t>
      </w:r>
      <w:r w:rsidRPr="001522CB">
        <w:rPr>
          <w:rFonts w:cs="David" w:hint="eastAsia"/>
          <w:sz w:val="24"/>
          <w:szCs w:val="24"/>
          <w:rtl/>
        </w:rPr>
        <w:t>לממונה</w:t>
      </w:r>
      <w:r w:rsidRPr="001522CB">
        <w:rPr>
          <w:rFonts w:cs="David"/>
          <w:sz w:val="24"/>
          <w:szCs w:val="24"/>
          <w:rtl/>
        </w:rPr>
        <w:t xml:space="preserve"> </w:t>
      </w:r>
      <w:r w:rsidRPr="001522CB">
        <w:rPr>
          <w:rFonts w:cs="David" w:hint="eastAsia"/>
          <w:sz w:val="24"/>
          <w:szCs w:val="24"/>
          <w:rtl/>
        </w:rPr>
        <w:t>יכלול</w:t>
      </w:r>
      <w:r w:rsidRPr="001522CB">
        <w:rPr>
          <w:rFonts w:cs="David"/>
          <w:sz w:val="24"/>
          <w:szCs w:val="24"/>
          <w:rtl/>
        </w:rPr>
        <w:t xml:space="preserve"> </w:t>
      </w:r>
      <w:r w:rsidRPr="001522CB">
        <w:rPr>
          <w:rFonts w:cs="David" w:hint="eastAsia"/>
          <w:sz w:val="24"/>
          <w:szCs w:val="24"/>
          <w:rtl/>
        </w:rPr>
        <w:t>תיאור</w:t>
      </w:r>
      <w:r w:rsidRPr="001522CB">
        <w:rPr>
          <w:rFonts w:cs="David"/>
          <w:sz w:val="24"/>
          <w:szCs w:val="24"/>
          <w:rtl/>
        </w:rPr>
        <w:t xml:space="preserve"> </w:t>
      </w:r>
      <w:r w:rsidRPr="001522CB">
        <w:rPr>
          <w:rFonts w:cs="David" w:hint="eastAsia"/>
          <w:sz w:val="24"/>
          <w:szCs w:val="24"/>
          <w:rtl/>
        </w:rPr>
        <w:t>מלא</w:t>
      </w:r>
      <w:r w:rsidRPr="001522CB">
        <w:rPr>
          <w:rFonts w:cs="David"/>
          <w:sz w:val="24"/>
          <w:szCs w:val="24"/>
          <w:rtl/>
        </w:rPr>
        <w:t xml:space="preserve"> </w:t>
      </w:r>
      <w:r w:rsidRPr="001522CB">
        <w:rPr>
          <w:rFonts w:cs="David" w:hint="eastAsia"/>
          <w:sz w:val="24"/>
          <w:szCs w:val="24"/>
          <w:rtl/>
        </w:rPr>
        <w:t>של</w:t>
      </w:r>
      <w:r w:rsidRPr="001522CB">
        <w:rPr>
          <w:rFonts w:cs="David"/>
          <w:sz w:val="24"/>
          <w:szCs w:val="24"/>
          <w:rtl/>
        </w:rPr>
        <w:t xml:space="preserve"> </w:t>
      </w:r>
      <w:r w:rsidRPr="001522CB">
        <w:rPr>
          <w:rFonts w:cs="David" w:hint="eastAsia"/>
          <w:sz w:val="24"/>
          <w:szCs w:val="24"/>
          <w:rtl/>
        </w:rPr>
        <w:t>האירוע</w:t>
      </w:r>
      <w:r w:rsidRPr="001522CB">
        <w:rPr>
          <w:rFonts w:cs="David"/>
          <w:sz w:val="24"/>
          <w:szCs w:val="24"/>
          <w:rtl/>
        </w:rPr>
        <w:t xml:space="preserve">, </w:t>
      </w:r>
      <w:r w:rsidRPr="001522CB">
        <w:rPr>
          <w:rFonts w:cs="David" w:hint="eastAsia"/>
          <w:sz w:val="24"/>
          <w:szCs w:val="24"/>
          <w:rtl/>
        </w:rPr>
        <w:t>לרבות</w:t>
      </w:r>
      <w:r w:rsidRPr="001522CB">
        <w:rPr>
          <w:rFonts w:cs="David"/>
          <w:sz w:val="24"/>
          <w:szCs w:val="24"/>
          <w:rtl/>
        </w:rPr>
        <w:t xml:space="preserve"> </w:t>
      </w:r>
      <w:r w:rsidRPr="001522CB">
        <w:rPr>
          <w:rFonts w:cs="David" w:hint="eastAsia"/>
          <w:sz w:val="24"/>
          <w:szCs w:val="24"/>
          <w:rtl/>
        </w:rPr>
        <w:t>מועד</w:t>
      </w:r>
      <w:r w:rsidRPr="001522CB">
        <w:rPr>
          <w:rFonts w:cs="David"/>
          <w:sz w:val="24"/>
          <w:szCs w:val="24"/>
          <w:rtl/>
        </w:rPr>
        <w:t xml:space="preserve"> </w:t>
      </w:r>
      <w:r w:rsidRPr="001522CB">
        <w:rPr>
          <w:rFonts w:cs="David" w:hint="eastAsia"/>
          <w:sz w:val="24"/>
          <w:szCs w:val="24"/>
          <w:rtl/>
        </w:rPr>
        <w:t>ביצועו</w:t>
      </w:r>
      <w:r w:rsidRPr="001522CB">
        <w:rPr>
          <w:rFonts w:cs="David"/>
          <w:sz w:val="24"/>
          <w:szCs w:val="24"/>
          <w:rtl/>
        </w:rPr>
        <w:t xml:space="preserve"> </w:t>
      </w:r>
      <w:r w:rsidRPr="001522CB">
        <w:rPr>
          <w:rFonts w:cs="David" w:hint="eastAsia"/>
          <w:sz w:val="24"/>
          <w:szCs w:val="24"/>
          <w:rtl/>
        </w:rPr>
        <w:t>והמועד</w:t>
      </w:r>
      <w:r w:rsidRPr="001522CB">
        <w:rPr>
          <w:rFonts w:cs="David"/>
          <w:sz w:val="24"/>
          <w:szCs w:val="24"/>
          <w:rtl/>
        </w:rPr>
        <w:t xml:space="preserve"> </w:t>
      </w:r>
      <w:r w:rsidRPr="001522CB">
        <w:rPr>
          <w:rFonts w:cs="David" w:hint="eastAsia"/>
          <w:sz w:val="24"/>
          <w:szCs w:val="24"/>
          <w:rtl/>
        </w:rPr>
        <w:t>בו</w:t>
      </w:r>
      <w:r w:rsidRPr="001522CB">
        <w:rPr>
          <w:rFonts w:cs="David"/>
          <w:sz w:val="24"/>
          <w:szCs w:val="24"/>
          <w:rtl/>
        </w:rPr>
        <w:t xml:space="preserve"> </w:t>
      </w:r>
      <w:r w:rsidRPr="001522CB">
        <w:rPr>
          <w:rFonts w:cs="David" w:hint="eastAsia"/>
          <w:sz w:val="24"/>
          <w:szCs w:val="24"/>
          <w:rtl/>
        </w:rPr>
        <w:t>נתגלה</w:t>
      </w:r>
      <w:r w:rsidRPr="001522CB">
        <w:rPr>
          <w:rFonts w:cs="David"/>
          <w:sz w:val="24"/>
          <w:szCs w:val="24"/>
          <w:rtl/>
        </w:rPr>
        <w:t xml:space="preserve"> </w:t>
      </w:r>
      <w:r w:rsidRPr="001522CB">
        <w:rPr>
          <w:rFonts w:cs="David" w:hint="eastAsia"/>
          <w:sz w:val="24"/>
          <w:szCs w:val="24"/>
          <w:rtl/>
        </w:rPr>
        <w:t>אצל</w:t>
      </w:r>
      <w:r w:rsidRPr="001522CB">
        <w:rPr>
          <w:rFonts w:cs="David"/>
          <w:sz w:val="24"/>
          <w:szCs w:val="24"/>
          <w:rtl/>
        </w:rPr>
        <w:t xml:space="preserve"> </w:t>
      </w:r>
      <w:r w:rsidRPr="001522CB">
        <w:rPr>
          <w:rFonts w:cs="David" w:hint="eastAsia"/>
          <w:sz w:val="24"/>
          <w:szCs w:val="24"/>
          <w:rtl/>
        </w:rPr>
        <w:t>הגוף</w:t>
      </w:r>
      <w:r w:rsidRPr="001522CB">
        <w:rPr>
          <w:rFonts w:cs="David"/>
          <w:sz w:val="24"/>
          <w:szCs w:val="24"/>
          <w:rtl/>
        </w:rPr>
        <w:t xml:space="preserve"> </w:t>
      </w:r>
      <w:r w:rsidRPr="001522CB">
        <w:rPr>
          <w:rFonts w:cs="David" w:hint="eastAsia"/>
          <w:sz w:val="24"/>
          <w:szCs w:val="24"/>
          <w:rtl/>
        </w:rPr>
        <w:t>המוסדי</w:t>
      </w:r>
      <w:r w:rsidRPr="001522CB">
        <w:rPr>
          <w:rFonts w:cs="David"/>
          <w:sz w:val="24"/>
          <w:szCs w:val="24"/>
          <w:rtl/>
        </w:rPr>
        <w:t xml:space="preserve">, </w:t>
      </w:r>
      <w:r w:rsidRPr="001522CB">
        <w:rPr>
          <w:rFonts w:cs="David" w:hint="eastAsia"/>
          <w:sz w:val="24"/>
          <w:szCs w:val="24"/>
          <w:rtl/>
        </w:rPr>
        <w:t>סכום</w:t>
      </w:r>
      <w:r w:rsidRPr="001522CB">
        <w:rPr>
          <w:rFonts w:cs="David"/>
          <w:sz w:val="24"/>
          <w:szCs w:val="24"/>
          <w:rtl/>
        </w:rPr>
        <w:t xml:space="preserve"> </w:t>
      </w:r>
      <w:r w:rsidRPr="001522CB">
        <w:rPr>
          <w:rFonts w:cs="David" w:hint="eastAsia"/>
          <w:sz w:val="24"/>
          <w:szCs w:val="24"/>
          <w:rtl/>
        </w:rPr>
        <w:t>ההונאה</w:t>
      </w:r>
      <w:r w:rsidRPr="001522CB">
        <w:rPr>
          <w:rFonts w:cs="David"/>
          <w:sz w:val="24"/>
          <w:szCs w:val="24"/>
          <w:rtl/>
        </w:rPr>
        <w:t xml:space="preserve"> </w:t>
      </w:r>
      <w:r w:rsidRPr="001522CB">
        <w:rPr>
          <w:rFonts w:cs="David" w:hint="eastAsia"/>
          <w:sz w:val="24"/>
          <w:szCs w:val="24"/>
          <w:rtl/>
        </w:rPr>
        <w:t>או</w:t>
      </w:r>
      <w:r w:rsidRPr="001522CB">
        <w:rPr>
          <w:rFonts w:cs="David"/>
          <w:sz w:val="24"/>
          <w:szCs w:val="24"/>
          <w:rtl/>
        </w:rPr>
        <w:t xml:space="preserve"> </w:t>
      </w:r>
      <w:r w:rsidRPr="001522CB">
        <w:rPr>
          <w:rFonts w:cs="David" w:hint="eastAsia"/>
          <w:sz w:val="24"/>
          <w:szCs w:val="24"/>
          <w:rtl/>
        </w:rPr>
        <w:t>המעילה</w:t>
      </w:r>
      <w:r w:rsidRPr="001522CB">
        <w:rPr>
          <w:rFonts w:cs="David"/>
          <w:sz w:val="24"/>
          <w:szCs w:val="24"/>
          <w:rtl/>
        </w:rPr>
        <w:t xml:space="preserve">, </w:t>
      </w:r>
      <w:r w:rsidRPr="001522CB">
        <w:rPr>
          <w:rFonts w:cs="David" w:hint="eastAsia"/>
          <w:sz w:val="24"/>
          <w:szCs w:val="24"/>
          <w:rtl/>
        </w:rPr>
        <w:t>שם</w:t>
      </w:r>
      <w:r w:rsidRPr="001522CB">
        <w:rPr>
          <w:rFonts w:cs="David"/>
          <w:sz w:val="24"/>
          <w:szCs w:val="24"/>
          <w:rtl/>
        </w:rPr>
        <w:t xml:space="preserve"> </w:t>
      </w:r>
      <w:r w:rsidRPr="001522CB">
        <w:rPr>
          <w:rFonts w:cs="David" w:hint="eastAsia"/>
          <w:sz w:val="24"/>
          <w:szCs w:val="24"/>
          <w:rtl/>
        </w:rPr>
        <w:t>נושא</w:t>
      </w:r>
      <w:r w:rsidRPr="001522CB">
        <w:rPr>
          <w:rFonts w:cs="David"/>
          <w:sz w:val="24"/>
          <w:szCs w:val="24"/>
          <w:rtl/>
        </w:rPr>
        <w:t xml:space="preserve"> </w:t>
      </w:r>
      <w:r w:rsidRPr="001522CB">
        <w:rPr>
          <w:rFonts w:cs="David" w:hint="eastAsia"/>
          <w:sz w:val="24"/>
          <w:szCs w:val="24"/>
          <w:rtl/>
        </w:rPr>
        <w:t>המשרה</w:t>
      </w:r>
      <w:r w:rsidRPr="001522CB">
        <w:rPr>
          <w:rFonts w:cs="David"/>
          <w:sz w:val="24"/>
          <w:szCs w:val="24"/>
          <w:rtl/>
        </w:rPr>
        <w:t xml:space="preserve">/העובד/היועץ </w:t>
      </w:r>
      <w:r w:rsidRPr="001522CB">
        <w:rPr>
          <w:rFonts w:cs="David" w:hint="eastAsia"/>
          <w:sz w:val="24"/>
          <w:szCs w:val="24"/>
          <w:rtl/>
        </w:rPr>
        <w:t>הפנסיוני</w:t>
      </w:r>
      <w:r w:rsidRPr="001522CB">
        <w:rPr>
          <w:rFonts w:cs="David"/>
          <w:sz w:val="24"/>
          <w:szCs w:val="24"/>
          <w:rtl/>
        </w:rPr>
        <w:t xml:space="preserve">/סוכן </w:t>
      </w:r>
      <w:r w:rsidRPr="001522CB">
        <w:rPr>
          <w:rFonts w:cs="David" w:hint="eastAsia"/>
          <w:sz w:val="24"/>
          <w:szCs w:val="24"/>
          <w:rtl/>
        </w:rPr>
        <w:t>הביטוח</w:t>
      </w:r>
      <w:r w:rsidRPr="001522CB">
        <w:rPr>
          <w:rFonts w:cs="David"/>
          <w:sz w:val="24"/>
          <w:szCs w:val="24"/>
          <w:rtl/>
        </w:rPr>
        <w:t xml:space="preserve">/ </w:t>
      </w:r>
      <w:r w:rsidRPr="001522CB">
        <w:rPr>
          <w:rFonts w:cs="David" w:hint="eastAsia"/>
          <w:sz w:val="24"/>
          <w:szCs w:val="24"/>
          <w:rtl/>
        </w:rPr>
        <w:t>ספק</w:t>
      </w:r>
      <w:r w:rsidRPr="001522CB">
        <w:rPr>
          <w:rFonts w:cs="David"/>
          <w:sz w:val="24"/>
          <w:szCs w:val="24"/>
          <w:rtl/>
        </w:rPr>
        <w:t xml:space="preserve"> </w:t>
      </w:r>
      <w:r w:rsidRPr="001522CB">
        <w:rPr>
          <w:rFonts w:cs="David" w:hint="eastAsia"/>
          <w:sz w:val="24"/>
          <w:szCs w:val="24"/>
          <w:rtl/>
        </w:rPr>
        <w:t>השירותים</w:t>
      </w:r>
      <w:r w:rsidRPr="001522CB">
        <w:rPr>
          <w:rFonts w:cs="David"/>
          <w:sz w:val="24"/>
          <w:szCs w:val="24"/>
          <w:rtl/>
        </w:rPr>
        <w:t xml:space="preserve"> </w:t>
      </w:r>
      <w:r w:rsidRPr="001522CB">
        <w:rPr>
          <w:rFonts w:cs="David" w:hint="eastAsia"/>
          <w:sz w:val="24"/>
          <w:szCs w:val="24"/>
          <w:rtl/>
        </w:rPr>
        <w:t>המעורב</w:t>
      </w:r>
      <w:r w:rsidRPr="001522CB">
        <w:rPr>
          <w:rFonts w:cs="David"/>
          <w:sz w:val="24"/>
          <w:szCs w:val="24"/>
          <w:rtl/>
        </w:rPr>
        <w:t xml:space="preserve"> </w:t>
      </w:r>
      <w:r w:rsidRPr="001522CB">
        <w:rPr>
          <w:rFonts w:cs="David" w:hint="eastAsia"/>
          <w:sz w:val="24"/>
          <w:szCs w:val="24"/>
          <w:rtl/>
        </w:rPr>
        <w:t>באירוע</w:t>
      </w:r>
      <w:r w:rsidRPr="001522CB">
        <w:rPr>
          <w:rFonts w:cs="David"/>
          <w:sz w:val="24"/>
          <w:szCs w:val="24"/>
          <w:rtl/>
        </w:rPr>
        <w:t xml:space="preserve"> </w:t>
      </w:r>
      <w:r w:rsidRPr="001522CB">
        <w:rPr>
          <w:rFonts w:cs="David" w:hint="eastAsia"/>
          <w:sz w:val="24"/>
          <w:szCs w:val="24"/>
          <w:rtl/>
        </w:rPr>
        <w:t>ותפקידו</w:t>
      </w:r>
      <w:r w:rsidRPr="001522CB">
        <w:rPr>
          <w:rFonts w:cs="David"/>
          <w:sz w:val="24"/>
          <w:szCs w:val="24"/>
          <w:rtl/>
        </w:rPr>
        <w:t xml:space="preserve"> </w:t>
      </w:r>
      <w:r w:rsidRPr="001522CB">
        <w:rPr>
          <w:rFonts w:cs="David" w:hint="eastAsia"/>
          <w:sz w:val="24"/>
          <w:szCs w:val="24"/>
          <w:rtl/>
        </w:rPr>
        <w:t>בגוף</w:t>
      </w:r>
      <w:r w:rsidRPr="001522CB">
        <w:rPr>
          <w:rFonts w:cs="David"/>
          <w:sz w:val="24"/>
          <w:szCs w:val="24"/>
          <w:rtl/>
        </w:rPr>
        <w:t xml:space="preserve"> </w:t>
      </w:r>
      <w:r w:rsidRPr="001522CB">
        <w:rPr>
          <w:rFonts w:cs="David" w:hint="eastAsia"/>
          <w:sz w:val="24"/>
          <w:szCs w:val="24"/>
          <w:rtl/>
        </w:rPr>
        <w:t>המוסדי</w:t>
      </w:r>
      <w:r w:rsidRPr="001522CB">
        <w:rPr>
          <w:rFonts w:cs="David"/>
          <w:sz w:val="24"/>
          <w:szCs w:val="24"/>
          <w:rtl/>
        </w:rPr>
        <w:t>.</w:t>
      </w:r>
    </w:p>
    <w:p w:rsidR="001522CB" w:rsidRPr="001522CB" w:rsidRDefault="001522CB" w:rsidP="00FB752D">
      <w:pPr>
        <w:numPr>
          <w:ilvl w:val="0"/>
          <w:numId w:val="16"/>
        </w:numPr>
        <w:spacing w:line="360" w:lineRule="auto"/>
        <w:ind w:left="1133" w:hanging="426"/>
        <w:outlineLvl w:val="2"/>
        <w:rPr>
          <w:rFonts w:eastAsiaTheme="minorHAnsi" w:cs="David"/>
          <w:sz w:val="24"/>
          <w:szCs w:val="24"/>
          <w:lang w:eastAsia="en-US"/>
        </w:rPr>
      </w:pPr>
      <w:bookmarkStart w:id="4" w:name="_GoBack"/>
      <w:r w:rsidRPr="001522CB">
        <w:rPr>
          <w:rFonts w:eastAsiaTheme="minorHAnsi" w:cs="David" w:hint="eastAsia"/>
          <w:sz w:val="24"/>
          <w:szCs w:val="24"/>
          <w:rtl/>
          <w:lang w:eastAsia="en-US"/>
        </w:rPr>
        <w:t>עם</w:t>
      </w:r>
      <w:r w:rsidRPr="001522CB">
        <w:rPr>
          <w:rFonts w:eastAsiaTheme="minorHAnsi" w:cs="David"/>
          <w:sz w:val="24"/>
          <w:szCs w:val="24"/>
          <w:rtl/>
          <w:lang w:eastAsia="en-US"/>
        </w:rPr>
        <w:t xml:space="preserve"> </w:t>
      </w:r>
      <w:r w:rsidRPr="001522CB">
        <w:rPr>
          <w:rFonts w:eastAsiaTheme="minorHAnsi" w:cs="David" w:hint="eastAsia"/>
          <w:sz w:val="24"/>
          <w:szCs w:val="24"/>
          <w:rtl/>
          <w:lang w:eastAsia="en-US"/>
        </w:rPr>
        <w:t>סיום</w:t>
      </w:r>
      <w:r w:rsidRPr="001522CB">
        <w:rPr>
          <w:rFonts w:eastAsiaTheme="minorHAnsi" w:cs="David"/>
          <w:sz w:val="24"/>
          <w:szCs w:val="24"/>
          <w:rtl/>
          <w:lang w:eastAsia="en-US"/>
        </w:rPr>
        <w:t xml:space="preserve"> </w:t>
      </w:r>
      <w:r w:rsidRPr="001522CB">
        <w:rPr>
          <w:rFonts w:eastAsiaTheme="minorHAnsi" w:cs="David" w:hint="eastAsia"/>
          <w:sz w:val="24"/>
          <w:szCs w:val="24"/>
          <w:rtl/>
          <w:lang w:eastAsia="en-US"/>
        </w:rPr>
        <w:t>בדיקת</w:t>
      </w:r>
      <w:r w:rsidRPr="001522CB">
        <w:rPr>
          <w:rFonts w:eastAsiaTheme="minorHAnsi" w:cs="David"/>
          <w:sz w:val="24"/>
          <w:szCs w:val="24"/>
          <w:rtl/>
          <w:lang w:eastAsia="en-US"/>
        </w:rPr>
        <w:t xml:space="preserve"> </w:t>
      </w:r>
      <w:r w:rsidRPr="001522CB">
        <w:rPr>
          <w:rFonts w:eastAsiaTheme="minorHAnsi" w:cs="David" w:hint="eastAsia"/>
          <w:sz w:val="24"/>
          <w:szCs w:val="24"/>
          <w:rtl/>
          <w:lang w:eastAsia="en-US"/>
        </w:rPr>
        <w:t>האירוע</w:t>
      </w:r>
      <w:r w:rsidRPr="001522CB">
        <w:rPr>
          <w:rFonts w:eastAsiaTheme="minorHAnsi" w:cs="David"/>
          <w:sz w:val="24"/>
          <w:szCs w:val="24"/>
          <w:rtl/>
          <w:lang w:eastAsia="en-US"/>
        </w:rPr>
        <w:t xml:space="preserve">, </w:t>
      </w:r>
      <w:r w:rsidRPr="001522CB">
        <w:rPr>
          <w:rFonts w:eastAsiaTheme="minorHAnsi" w:cs="David" w:hint="eastAsia"/>
          <w:sz w:val="24"/>
          <w:szCs w:val="24"/>
          <w:rtl/>
          <w:lang w:eastAsia="en-US"/>
        </w:rPr>
        <w:t>ישלח</w:t>
      </w:r>
      <w:r w:rsidRPr="001522CB">
        <w:rPr>
          <w:rFonts w:eastAsiaTheme="minorHAnsi" w:cs="David"/>
          <w:sz w:val="24"/>
          <w:szCs w:val="24"/>
          <w:rtl/>
          <w:lang w:eastAsia="en-US"/>
        </w:rPr>
        <w:t xml:space="preserve"> </w:t>
      </w:r>
      <w:r w:rsidRPr="001522CB">
        <w:rPr>
          <w:rFonts w:eastAsiaTheme="minorHAnsi" w:cs="David" w:hint="eastAsia"/>
          <w:sz w:val="24"/>
          <w:szCs w:val="24"/>
          <w:rtl/>
          <w:lang w:eastAsia="en-US"/>
        </w:rPr>
        <w:t>הגוף</w:t>
      </w:r>
      <w:r w:rsidRPr="001522CB">
        <w:rPr>
          <w:rFonts w:eastAsiaTheme="minorHAnsi" w:cs="David"/>
          <w:sz w:val="24"/>
          <w:szCs w:val="24"/>
          <w:rtl/>
          <w:lang w:eastAsia="en-US"/>
        </w:rPr>
        <w:t xml:space="preserve"> </w:t>
      </w:r>
      <w:r w:rsidRPr="001522CB">
        <w:rPr>
          <w:rFonts w:eastAsiaTheme="minorHAnsi" w:cs="David" w:hint="eastAsia"/>
          <w:sz w:val="24"/>
          <w:szCs w:val="24"/>
          <w:rtl/>
          <w:lang w:eastAsia="en-US"/>
        </w:rPr>
        <w:t>המוסדי</w:t>
      </w:r>
      <w:r w:rsidRPr="001522CB">
        <w:rPr>
          <w:rFonts w:eastAsiaTheme="minorHAnsi" w:cs="David"/>
          <w:sz w:val="24"/>
          <w:szCs w:val="24"/>
          <w:rtl/>
          <w:lang w:eastAsia="en-US"/>
        </w:rPr>
        <w:t xml:space="preserve"> </w:t>
      </w:r>
      <w:r w:rsidRPr="001522CB">
        <w:rPr>
          <w:rFonts w:eastAsiaTheme="minorHAnsi" w:cs="David" w:hint="eastAsia"/>
          <w:sz w:val="24"/>
          <w:szCs w:val="24"/>
          <w:rtl/>
          <w:lang w:eastAsia="en-US"/>
        </w:rPr>
        <w:t>לממונה</w:t>
      </w:r>
      <w:r w:rsidRPr="001522CB">
        <w:rPr>
          <w:rFonts w:eastAsiaTheme="minorHAnsi" w:cs="David"/>
          <w:sz w:val="24"/>
          <w:szCs w:val="24"/>
          <w:rtl/>
          <w:lang w:eastAsia="en-US"/>
        </w:rPr>
        <w:t xml:space="preserve"> </w:t>
      </w:r>
      <w:r w:rsidRPr="001522CB">
        <w:rPr>
          <w:rFonts w:eastAsiaTheme="minorHAnsi" w:cs="David" w:hint="eastAsia"/>
          <w:sz w:val="24"/>
          <w:szCs w:val="24"/>
          <w:rtl/>
          <w:lang w:eastAsia="en-US"/>
        </w:rPr>
        <w:t>דוח</w:t>
      </w:r>
      <w:r w:rsidRPr="001522CB">
        <w:rPr>
          <w:rFonts w:eastAsiaTheme="minorHAnsi" w:cs="David"/>
          <w:sz w:val="24"/>
          <w:szCs w:val="24"/>
          <w:rtl/>
          <w:lang w:eastAsia="en-US"/>
        </w:rPr>
        <w:t xml:space="preserve"> </w:t>
      </w:r>
      <w:r w:rsidRPr="001522CB">
        <w:rPr>
          <w:rFonts w:eastAsiaTheme="minorHAnsi" w:cs="David" w:hint="eastAsia"/>
          <w:sz w:val="24"/>
          <w:szCs w:val="24"/>
          <w:rtl/>
          <w:lang w:eastAsia="en-US"/>
        </w:rPr>
        <w:t>מסכם</w:t>
      </w:r>
      <w:r w:rsidRPr="001522CB">
        <w:rPr>
          <w:rFonts w:eastAsiaTheme="minorHAnsi" w:cs="David"/>
          <w:sz w:val="24"/>
          <w:szCs w:val="24"/>
          <w:rtl/>
          <w:lang w:eastAsia="en-US"/>
        </w:rPr>
        <w:t xml:space="preserve"> </w:t>
      </w:r>
      <w:r w:rsidRPr="001522CB">
        <w:rPr>
          <w:rFonts w:eastAsiaTheme="minorHAnsi" w:cs="David" w:hint="eastAsia"/>
          <w:sz w:val="24"/>
          <w:szCs w:val="24"/>
          <w:rtl/>
          <w:lang w:eastAsia="en-US"/>
        </w:rPr>
        <w:t>מטעם</w:t>
      </w:r>
      <w:r w:rsidRPr="001522CB">
        <w:rPr>
          <w:rFonts w:eastAsiaTheme="minorHAnsi" w:cs="David"/>
          <w:sz w:val="24"/>
          <w:szCs w:val="24"/>
          <w:rtl/>
          <w:lang w:eastAsia="en-US"/>
        </w:rPr>
        <w:t xml:space="preserve"> </w:t>
      </w:r>
      <w:r w:rsidRPr="001522CB">
        <w:rPr>
          <w:rFonts w:eastAsiaTheme="minorHAnsi" w:cs="David" w:hint="eastAsia"/>
          <w:sz w:val="24"/>
          <w:szCs w:val="24"/>
          <w:rtl/>
          <w:lang w:eastAsia="en-US"/>
        </w:rPr>
        <w:t>ועדת</w:t>
      </w:r>
      <w:r w:rsidRPr="001522CB">
        <w:rPr>
          <w:rFonts w:eastAsiaTheme="minorHAnsi" w:cs="David"/>
          <w:sz w:val="24"/>
          <w:szCs w:val="24"/>
          <w:rtl/>
          <w:lang w:eastAsia="en-US"/>
        </w:rPr>
        <w:t xml:space="preserve"> </w:t>
      </w:r>
      <w:r w:rsidRPr="001522CB">
        <w:rPr>
          <w:rFonts w:eastAsiaTheme="minorHAnsi" w:cs="David" w:hint="eastAsia"/>
          <w:sz w:val="24"/>
          <w:szCs w:val="24"/>
          <w:rtl/>
          <w:lang w:eastAsia="en-US"/>
        </w:rPr>
        <w:t>הביקורת</w:t>
      </w:r>
      <w:r w:rsidRPr="001522CB">
        <w:rPr>
          <w:rFonts w:eastAsiaTheme="minorHAnsi" w:cs="David"/>
          <w:sz w:val="24"/>
          <w:szCs w:val="24"/>
          <w:rtl/>
          <w:lang w:eastAsia="en-US"/>
        </w:rPr>
        <w:t xml:space="preserve"> </w:t>
      </w:r>
      <w:r w:rsidRPr="001522CB">
        <w:rPr>
          <w:rFonts w:eastAsiaTheme="minorHAnsi" w:cs="David" w:hint="eastAsia"/>
          <w:sz w:val="24"/>
          <w:szCs w:val="24"/>
          <w:rtl/>
          <w:lang w:eastAsia="en-US"/>
        </w:rPr>
        <w:t>שלו</w:t>
      </w:r>
      <w:r w:rsidRPr="001522CB">
        <w:rPr>
          <w:rFonts w:eastAsiaTheme="minorHAnsi" w:cs="David"/>
          <w:sz w:val="24"/>
          <w:szCs w:val="24"/>
          <w:rtl/>
          <w:lang w:eastAsia="en-US"/>
        </w:rPr>
        <w:t xml:space="preserve"> על האירוע, לרבות הפקת לקחים למניעת הישנות אירועים דומים בעתיד</w:t>
      </w:r>
      <w:bookmarkEnd w:id="4"/>
      <w:r w:rsidRPr="001522CB">
        <w:rPr>
          <w:rFonts w:eastAsiaTheme="minorHAnsi" w:cs="David"/>
          <w:sz w:val="24"/>
          <w:szCs w:val="24"/>
          <w:rtl/>
          <w:lang w:eastAsia="en-US"/>
        </w:rPr>
        <w:t>.</w:t>
      </w:r>
    </w:p>
    <w:p w:rsidR="001522CB" w:rsidRPr="001522CB" w:rsidRDefault="001522CB" w:rsidP="00FB752D">
      <w:pPr>
        <w:numPr>
          <w:ilvl w:val="0"/>
          <w:numId w:val="16"/>
        </w:numPr>
        <w:spacing w:line="360" w:lineRule="auto"/>
        <w:ind w:left="1133" w:hanging="426"/>
        <w:outlineLvl w:val="2"/>
        <w:rPr>
          <w:rFonts w:eastAsiaTheme="minorHAnsi" w:cs="David"/>
          <w:sz w:val="24"/>
          <w:szCs w:val="24"/>
          <w:rtl/>
          <w:lang w:eastAsia="en-US"/>
        </w:rPr>
      </w:pPr>
      <w:r w:rsidRPr="001522CB">
        <w:rPr>
          <w:rFonts w:eastAsiaTheme="minorHAnsi" w:cs="David" w:hint="eastAsia"/>
          <w:sz w:val="24"/>
          <w:szCs w:val="24"/>
          <w:rtl/>
          <w:lang w:eastAsia="en-US"/>
        </w:rPr>
        <w:t>מועדי</w:t>
      </w:r>
      <w:r w:rsidRPr="001522CB">
        <w:rPr>
          <w:rFonts w:eastAsiaTheme="minorHAnsi" w:cs="David"/>
          <w:sz w:val="24"/>
          <w:szCs w:val="24"/>
          <w:rtl/>
          <w:lang w:eastAsia="en-US"/>
        </w:rPr>
        <w:t xml:space="preserve"> </w:t>
      </w:r>
      <w:r w:rsidRPr="001522CB">
        <w:rPr>
          <w:rFonts w:eastAsiaTheme="minorHAnsi" w:cs="David" w:hint="eastAsia"/>
          <w:sz w:val="24"/>
          <w:szCs w:val="24"/>
          <w:rtl/>
          <w:lang w:eastAsia="en-US"/>
        </w:rPr>
        <w:t>הדיווח</w:t>
      </w:r>
      <w:r w:rsidRPr="001522CB">
        <w:rPr>
          <w:rFonts w:eastAsiaTheme="minorHAnsi" w:cs="David"/>
          <w:sz w:val="24"/>
          <w:szCs w:val="24"/>
          <w:rtl/>
          <w:lang w:eastAsia="en-US"/>
        </w:rPr>
        <w:t xml:space="preserve"> </w:t>
      </w:r>
      <w:r w:rsidRPr="001522CB">
        <w:rPr>
          <w:rFonts w:eastAsiaTheme="minorHAnsi" w:cs="David" w:hint="eastAsia"/>
          <w:sz w:val="24"/>
          <w:szCs w:val="24"/>
          <w:rtl/>
          <w:lang w:eastAsia="en-US"/>
        </w:rPr>
        <w:t>לממונה</w:t>
      </w:r>
      <w:r w:rsidRPr="001522CB">
        <w:rPr>
          <w:rFonts w:eastAsiaTheme="minorHAnsi" w:cs="David"/>
          <w:sz w:val="24"/>
          <w:szCs w:val="24"/>
          <w:rtl/>
          <w:lang w:eastAsia="en-US"/>
        </w:rPr>
        <w:t>:</w:t>
      </w:r>
    </w:p>
    <w:p w:rsidR="001522CB" w:rsidRPr="001522CB" w:rsidRDefault="001522CB" w:rsidP="00FB752D">
      <w:pPr>
        <w:numPr>
          <w:ilvl w:val="2"/>
          <w:numId w:val="17"/>
        </w:numPr>
        <w:tabs>
          <w:tab w:val="clear" w:pos="1247"/>
          <w:tab w:val="num" w:pos="1558"/>
        </w:tabs>
        <w:spacing w:before="120" w:after="120" w:line="360" w:lineRule="auto"/>
        <w:ind w:left="1558" w:hanging="425"/>
        <w:contextualSpacing/>
        <w:rPr>
          <w:rFonts w:eastAsiaTheme="minorHAnsi" w:cs="David"/>
          <w:sz w:val="24"/>
          <w:szCs w:val="24"/>
          <w:lang w:eastAsia="en-US"/>
        </w:rPr>
      </w:pPr>
      <w:r w:rsidRPr="001522CB">
        <w:rPr>
          <w:rFonts w:eastAsiaTheme="minorHAnsi" w:cs="David" w:hint="cs"/>
          <w:sz w:val="24"/>
          <w:szCs w:val="24"/>
          <w:rtl/>
          <w:lang w:eastAsia="en-US"/>
        </w:rPr>
        <w:t>אירוע ידווח מיד עם גילויו ולא יאוחר מ-7 ימים ממועד גילויו;</w:t>
      </w:r>
    </w:p>
    <w:p w:rsidR="001522CB" w:rsidRPr="001522CB" w:rsidRDefault="001522CB" w:rsidP="00FB752D">
      <w:pPr>
        <w:numPr>
          <w:ilvl w:val="2"/>
          <w:numId w:val="17"/>
        </w:numPr>
        <w:tabs>
          <w:tab w:val="clear" w:pos="1247"/>
          <w:tab w:val="num" w:pos="1558"/>
        </w:tabs>
        <w:spacing w:before="120" w:after="120" w:line="360" w:lineRule="auto"/>
        <w:ind w:left="1558" w:hanging="425"/>
        <w:contextualSpacing/>
        <w:rPr>
          <w:rFonts w:eastAsiaTheme="minorHAnsi" w:cs="David"/>
          <w:sz w:val="24"/>
          <w:szCs w:val="24"/>
          <w:lang w:eastAsia="en-US"/>
        </w:rPr>
      </w:pPr>
      <w:r w:rsidRPr="001522CB">
        <w:rPr>
          <w:rFonts w:eastAsiaTheme="minorHAnsi" w:cs="David" w:hint="cs"/>
          <w:sz w:val="24"/>
          <w:szCs w:val="24"/>
          <w:rtl/>
          <w:lang w:eastAsia="en-US"/>
        </w:rPr>
        <w:t>דוח מסכם מטעם וועדת הביקורת לפי סעיף קטן (ג) לעיל ידווח תוך זמן סביר, ולא יאוחר מ-15 ימים לאחר המועד שבו הוגש הדוח לדירקטוריון הגוף המוסדי.</w:t>
      </w:r>
    </w:p>
    <w:p w:rsidR="003D1A57" w:rsidRPr="001522CB" w:rsidRDefault="003D1A57" w:rsidP="002D7789">
      <w:pPr>
        <w:rPr>
          <w:rtl/>
        </w:rPr>
      </w:pPr>
    </w:p>
    <w:sectPr w:rsidR="003D1A57" w:rsidRPr="001522CB" w:rsidSect="00B774C7">
      <w:footerReference w:type="default" r:id="rId11"/>
      <w:headerReference w:type="first" r:id="rId12"/>
      <w:footerReference w:type="first" r:id="rId13"/>
      <w:pgSz w:w="11906" w:h="16838"/>
      <w:pgMar w:top="840" w:right="1134" w:bottom="1418" w:left="1134" w:header="284" w:footer="37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66" w:rsidRDefault="00341366" w:rsidP="003D1A57">
      <w:r>
        <w:separator/>
      </w:r>
    </w:p>
  </w:endnote>
  <w:endnote w:type="continuationSeparator" w:id="0">
    <w:p w:rsidR="00341366" w:rsidRDefault="00341366" w:rsidP="003D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C7" w:rsidRDefault="002C1F9A" w:rsidP="00B774C7">
    <w:pPr>
      <w:jc w:val="center"/>
      <w:rPr>
        <w:rtl/>
      </w:rPr>
    </w:pPr>
    <w:fldSimple w:instr=" NUMPAGES  \* MERGEFORMAT ">
      <w:r w:rsidR="00541E2C">
        <w:rPr>
          <w:noProof/>
          <w:rtl/>
        </w:rPr>
        <w:t>4</w:t>
      </w:r>
    </w:fldSimple>
    <w:r w:rsidR="00B774C7">
      <w:rPr>
        <w:rFonts w:hint="cs"/>
        <w:rtl/>
      </w:rPr>
      <w:t xml:space="preserve"> / </w:t>
    </w:r>
    <w:r w:rsidR="00B774C7">
      <w:rPr>
        <w:rtl/>
      </w:rPr>
      <w:fldChar w:fldCharType="begin"/>
    </w:r>
    <w:r w:rsidR="00B774C7">
      <w:rPr>
        <w:rtl/>
      </w:rPr>
      <w:instrText xml:space="preserve"> </w:instrText>
    </w:r>
    <w:r w:rsidR="00B774C7">
      <w:instrText>PAGE  \* MERGEFORMAT</w:instrText>
    </w:r>
    <w:r w:rsidR="00B774C7">
      <w:rPr>
        <w:rtl/>
      </w:rPr>
      <w:instrText xml:space="preserve"> </w:instrText>
    </w:r>
    <w:r w:rsidR="00B774C7">
      <w:rPr>
        <w:rtl/>
      </w:rPr>
      <w:fldChar w:fldCharType="separate"/>
    </w:r>
    <w:r w:rsidR="00541E2C">
      <w:rPr>
        <w:noProof/>
        <w:rtl/>
      </w:rPr>
      <w:t>4</w:t>
    </w:r>
    <w:r w:rsidR="00B774C7">
      <w:rPr>
        <w:rtl/>
      </w:rPr>
      <w:fldChar w:fldCharType="end"/>
    </w:r>
  </w:p>
  <w:p w:rsidR="00B774C7" w:rsidRDefault="00B774C7" w:rsidP="00B774C7">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rsidR="00B774C7" w:rsidRPr="00C51B36" w:rsidRDefault="00341366" w:rsidP="00B774C7">
    <w:pPr>
      <w:bidi w:val="0"/>
      <w:jc w:val="center"/>
      <w:rPr>
        <w:rFonts w:cstheme="minorBidi"/>
        <w:lang w:bidi="ar-SA"/>
      </w:rPr>
    </w:pPr>
    <w:hyperlink r:id="rId1" w:history="1">
      <w:r w:rsidR="00B774C7" w:rsidRPr="00466737">
        <w:rPr>
          <w:rStyle w:val="Hyperlink"/>
          <w:szCs w:val="28"/>
        </w:rPr>
        <w:t>www.mof.gov.il/hon</w:t>
      </w:r>
    </w:hyperlink>
    <w:r w:rsidR="00B774C7">
      <w:rPr>
        <w:szCs w:val="28"/>
      </w:rPr>
      <w:t xml:space="preserve"> </w:t>
    </w:r>
    <w:r w:rsidR="00B774C7">
      <w:rPr>
        <w:rFonts w:hint="cs"/>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C7" w:rsidRDefault="002C1F9A" w:rsidP="00B774C7">
    <w:pPr>
      <w:jc w:val="center"/>
      <w:rPr>
        <w:rtl/>
      </w:rPr>
    </w:pPr>
    <w:fldSimple w:instr=" NUMPAGES  \* MERGEFORMAT ">
      <w:r w:rsidR="002661BF">
        <w:rPr>
          <w:noProof/>
          <w:rtl/>
        </w:rPr>
        <w:t>4</w:t>
      </w:r>
    </w:fldSimple>
    <w:r w:rsidR="00B774C7">
      <w:rPr>
        <w:rFonts w:hint="cs"/>
        <w:rtl/>
      </w:rPr>
      <w:t xml:space="preserve"> / </w:t>
    </w:r>
    <w:r w:rsidR="00B774C7">
      <w:rPr>
        <w:rtl/>
      </w:rPr>
      <w:fldChar w:fldCharType="begin"/>
    </w:r>
    <w:r w:rsidR="00B774C7">
      <w:rPr>
        <w:rtl/>
      </w:rPr>
      <w:instrText xml:space="preserve"> </w:instrText>
    </w:r>
    <w:r w:rsidR="00B774C7">
      <w:instrText>PAGE  \* MERGEFORMAT</w:instrText>
    </w:r>
    <w:r w:rsidR="00B774C7">
      <w:rPr>
        <w:rtl/>
      </w:rPr>
      <w:instrText xml:space="preserve"> </w:instrText>
    </w:r>
    <w:r w:rsidR="00B774C7">
      <w:rPr>
        <w:rtl/>
      </w:rPr>
      <w:fldChar w:fldCharType="separate"/>
    </w:r>
    <w:r w:rsidR="002661BF">
      <w:rPr>
        <w:noProof/>
        <w:rtl/>
      </w:rPr>
      <w:t>1</w:t>
    </w:r>
    <w:r w:rsidR="00B774C7">
      <w:rPr>
        <w:rtl/>
      </w:rPr>
      <w:fldChar w:fldCharType="end"/>
    </w:r>
  </w:p>
  <w:p w:rsidR="00B774C7" w:rsidRDefault="00B774C7" w:rsidP="00B774C7">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rsidR="00B774C7" w:rsidRPr="00C51B36" w:rsidRDefault="00341366" w:rsidP="00B774C7">
    <w:pPr>
      <w:bidi w:val="0"/>
      <w:jc w:val="center"/>
      <w:rPr>
        <w:rFonts w:cstheme="minorBidi"/>
        <w:lang w:bidi="ar-SA"/>
      </w:rPr>
    </w:pPr>
    <w:hyperlink r:id="rId1" w:history="1">
      <w:r w:rsidR="00B774C7" w:rsidRPr="00466737">
        <w:rPr>
          <w:rStyle w:val="Hyperlink"/>
          <w:szCs w:val="28"/>
        </w:rPr>
        <w:t>www.mof.gov.il/hon</w:t>
      </w:r>
    </w:hyperlink>
    <w:r w:rsidR="00B774C7">
      <w:rPr>
        <w:szCs w:val="28"/>
      </w:rPr>
      <w:t xml:space="preserve"> </w:t>
    </w:r>
    <w:r w:rsidR="00B774C7">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66" w:rsidRDefault="00341366" w:rsidP="003D1A57">
      <w:r>
        <w:separator/>
      </w:r>
    </w:p>
  </w:footnote>
  <w:footnote w:type="continuationSeparator" w:id="0">
    <w:p w:rsidR="00341366" w:rsidRDefault="00341366" w:rsidP="003D1A57">
      <w:r>
        <w:continuationSeparator/>
      </w:r>
    </w:p>
  </w:footnote>
  <w:footnote w:id="1">
    <w:p w:rsidR="001522CB" w:rsidRPr="001522CB" w:rsidRDefault="001522CB" w:rsidP="001522CB">
      <w:pPr>
        <w:rPr>
          <w:rFonts w:ascii="David" w:hAnsi="David" w:cs="David"/>
          <w:sz w:val="20"/>
          <w:szCs w:val="20"/>
          <w:rtl/>
        </w:rPr>
      </w:pPr>
      <w:r w:rsidRPr="001522CB">
        <w:rPr>
          <w:rStyle w:val="af3"/>
          <w:rFonts w:ascii="David" w:hAnsi="David" w:cs="David"/>
          <w:sz w:val="20"/>
          <w:szCs w:val="20"/>
        </w:rPr>
        <w:footnoteRef/>
      </w:r>
      <w:r w:rsidRPr="001522CB">
        <w:rPr>
          <w:rFonts w:ascii="David" w:hAnsi="David" w:cs="David"/>
          <w:sz w:val="20"/>
          <w:szCs w:val="20"/>
          <w:rtl/>
        </w:rPr>
        <w:t xml:space="preserve"> חוזר גופים מוסדיים 2006-9-3 "מעילות והונאות מצד גורמים בתוך הארגון וגורמים מחוץ לארגון" (04.10.2006).</w:t>
      </w:r>
    </w:p>
    <w:p w:rsidR="001522CB" w:rsidRPr="001522CB" w:rsidRDefault="001522CB" w:rsidP="001522CB">
      <w:pPr>
        <w:rPr>
          <w:rFonts w:ascii="David" w:hAnsi="David" w:cs="David"/>
          <w:sz w:val="20"/>
          <w:szCs w:val="20"/>
          <w:u w:val="single"/>
          <w:rtl/>
        </w:rPr>
      </w:pPr>
      <w:r w:rsidRPr="001522CB">
        <w:rPr>
          <w:rFonts w:ascii="David" w:hAnsi="David" w:cs="David"/>
          <w:b/>
          <w:bCs/>
          <w:sz w:val="20"/>
          <w:szCs w:val="20"/>
          <w:u w:val="single"/>
          <w:rtl/>
        </w:rPr>
        <w:t>כללי</w:t>
      </w:r>
    </w:p>
    <w:p w:rsidR="001522CB" w:rsidRPr="001522CB" w:rsidRDefault="001522CB" w:rsidP="001522CB">
      <w:pPr>
        <w:rPr>
          <w:rFonts w:ascii="David" w:hAnsi="David" w:cs="David"/>
          <w:sz w:val="20"/>
          <w:szCs w:val="20"/>
          <w:rtl/>
        </w:rPr>
      </w:pPr>
      <w:r w:rsidRPr="001522CB">
        <w:rPr>
          <w:rFonts w:ascii="David" w:hAnsi="David" w:cs="David"/>
          <w:sz w:val="20"/>
          <w:szCs w:val="20"/>
          <w:rtl/>
        </w:rPr>
        <w:t>אופי הפעילות, המבנה הארגוני ומדרג הסמכויות המייחדים את הגופים המוסדיים וכן היקף הכספים המנוהל על-ידם, חושפים אותם, בין השאר, לאפשרות של הונאות ומעילות מצד גורמים בתוך הגוף המוסדי, לרבות נושאי משרה ועובדים, ומצד גורמים מחוץ לגוף המוסדי, לרבות יועצים פנסיונים, סוכנים וספקי שירותים.</w:t>
      </w:r>
      <w:r>
        <w:rPr>
          <w:rFonts w:ascii="David" w:hAnsi="David" w:cs="David" w:hint="cs"/>
          <w:sz w:val="20"/>
          <w:szCs w:val="20"/>
          <w:rtl/>
        </w:rPr>
        <w:t xml:space="preserve"> </w:t>
      </w:r>
      <w:r w:rsidRPr="001522CB">
        <w:rPr>
          <w:rFonts w:ascii="David" w:hAnsi="David" w:cs="David"/>
          <w:sz w:val="20"/>
          <w:szCs w:val="20"/>
          <w:rtl/>
        </w:rPr>
        <w:t xml:space="preserve">הונאה או מעילה של גורמים כאמור עלולה לחשוף את הגוף המוסדי לסיכונים שונים, לרבות סיכון לחוסנו הפיננסי, סיכון תפעולי, משפטי ואחר. בנוסף, הונאה או מעילה של גורמים כאמור, הפועלים בשם הגוף המוסדי, עלולה לפגוע בשמו הטוב של הגוף המוסדי, באמון הציבור בו ובמוניטין שצבר במשך שנים ואף לפגוע באמון הציבור בכלל הגופים המוסדיים בישראל ובמערכת הפיננסית כולה. </w:t>
      </w:r>
    </w:p>
    <w:p w:rsidR="001522CB" w:rsidRPr="001522CB" w:rsidRDefault="001522CB" w:rsidP="001522CB">
      <w:pPr>
        <w:rPr>
          <w:rFonts w:ascii="David" w:hAnsi="David" w:cs="David"/>
          <w:sz w:val="20"/>
          <w:szCs w:val="20"/>
          <w:rtl/>
        </w:rPr>
      </w:pPr>
      <w:r w:rsidRPr="001522CB">
        <w:rPr>
          <w:rFonts w:ascii="David" w:hAnsi="David" w:cs="David"/>
          <w:sz w:val="20"/>
          <w:szCs w:val="20"/>
          <w:rtl/>
        </w:rPr>
        <w:t>מטרת הוראות אלה לקבוע עקרונות בסיסיים לדרכי ההתמודדות של גוף מוסדי עם הונאות או מעילות של גורמים כאמור ולעגן את חובת הדיווח לממונה במקרה של הונאה או מעילה מצד עובד הגוף המוסדי, סוכן ביטוח, יועץ פנסיוני או ספק שירותים אחר של הגוף המוסדי. יובהר כי הוראות אלה אינן מתייחסות לדרכי התמודדות של גוף מוסדי עם אפשרות של מרמה מצד מבוטח, עמית או מוטב.</w:t>
      </w:r>
    </w:p>
    <w:p w:rsidR="001522CB" w:rsidRPr="001522CB" w:rsidRDefault="001522CB" w:rsidP="001522CB">
      <w:pPr>
        <w:rPr>
          <w:rFonts w:ascii="David" w:hAnsi="David" w:cs="David"/>
          <w:sz w:val="20"/>
          <w:szCs w:val="20"/>
          <w:rtl/>
        </w:rPr>
      </w:pPr>
      <w:r w:rsidRPr="001522CB">
        <w:rPr>
          <w:rFonts w:ascii="David" w:hAnsi="David" w:cs="David"/>
          <w:b/>
          <w:bCs/>
          <w:sz w:val="20"/>
          <w:szCs w:val="20"/>
          <w:u w:val="single"/>
          <w:rtl/>
        </w:rPr>
        <w:t>תחולה</w:t>
      </w:r>
    </w:p>
    <w:p w:rsidR="001522CB" w:rsidRPr="001522CB" w:rsidRDefault="001522CB" w:rsidP="001522CB">
      <w:pPr>
        <w:rPr>
          <w:rFonts w:ascii="David" w:hAnsi="David" w:cs="David"/>
          <w:b/>
          <w:bCs/>
          <w:sz w:val="20"/>
          <w:szCs w:val="20"/>
        </w:rPr>
      </w:pPr>
      <w:r w:rsidRPr="001522CB">
        <w:rPr>
          <w:rFonts w:ascii="David" w:hAnsi="David" w:cs="David"/>
          <w:sz w:val="20"/>
          <w:szCs w:val="20"/>
          <w:rtl/>
        </w:rPr>
        <w:t>כל הגופים המוסדיים.</w:t>
      </w:r>
    </w:p>
    <w:p w:rsidR="001522CB" w:rsidRPr="001522CB" w:rsidRDefault="001522CB" w:rsidP="001522CB">
      <w:pPr>
        <w:rPr>
          <w:rFonts w:ascii="David" w:hAnsi="David" w:cs="David"/>
          <w:sz w:val="20"/>
          <w:szCs w:val="20"/>
          <w:u w:val="single"/>
          <w:rtl/>
        </w:rPr>
      </w:pPr>
      <w:r w:rsidRPr="001522CB">
        <w:rPr>
          <w:rFonts w:ascii="David" w:hAnsi="David" w:cs="David"/>
          <w:b/>
          <w:bCs/>
          <w:sz w:val="20"/>
          <w:szCs w:val="20"/>
          <w:u w:val="single"/>
          <w:rtl/>
        </w:rPr>
        <w:t>תחילה</w:t>
      </w:r>
    </w:p>
    <w:p w:rsidR="001522CB" w:rsidRPr="001522CB" w:rsidRDefault="001522CB" w:rsidP="008779A5">
      <w:pPr>
        <w:rPr>
          <w:rFonts w:ascii="David" w:hAnsi="David" w:cs="David"/>
          <w:sz w:val="20"/>
          <w:szCs w:val="20"/>
          <w:rtl/>
        </w:rPr>
      </w:pPr>
      <w:r w:rsidRPr="001522CB">
        <w:rPr>
          <w:rFonts w:ascii="David" w:hAnsi="David" w:cs="David"/>
          <w:sz w:val="20"/>
          <w:szCs w:val="20"/>
          <w:rtl/>
        </w:rPr>
        <w:t>תחילת</w:t>
      </w:r>
      <w:r w:rsidR="00C22977">
        <w:rPr>
          <w:rFonts w:ascii="David" w:hAnsi="David" w:cs="David"/>
          <w:sz w:val="20"/>
          <w:szCs w:val="20"/>
          <w:rtl/>
        </w:rPr>
        <w:t xml:space="preserve"> הוראות אלה</w:t>
      </w:r>
      <w:r w:rsidR="00B75311">
        <w:rPr>
          <w:rFonts w:ascii="David" w:hAnsi="David" w:cs="David" w:hint="cs"/>
          <w:sz w:val="20"/>
          <w:szCs w:val="20"/>
          <w:rtl/>
        </w:rPr>
        <w:t xml:space="preserve"> </w:t>
      </w:r>
      <w:r w:rsidRPr="001522CB">
        <w:rPr>
          <w:rFonts w:ascii="David" w:hAnsi="David" w:cs="David"/>
          <w:sz w:val="20"/>
          <w:szCs w:val="20"/>
          <w:rtl/>
        </w:rPr>
        <w:t xml:space="preserve">ביום 04.10.2006; על אף האמור, תחילתם של סעיפים 1(א) ו-3 </w:t>
      </w:r>
      <w:r w:rsidR="00B36067">
        <w:rPr>
          <w:rFonts w:ascii="David" w:hAnsi="David" w:cs="David" w:hint="cs"/>
          <w:sz w:val="20"/>
          <w:szCs w:val="20"/>
          <w:rtl/>
        </w:rPr>
        <w:t xml:space="preserve">חל </w:t>
      </w:r>
      <w:r w:rsidRPr="001522CB">
        <w:rPr>
          <w:rFonts w:ascii="David" w:hAnsi="David" w:cs="David"/>
          <w:sz w:val="20"/>
          <w:szCs w:val="20"/>
          <w:rtl/>
        </w:rPr>
        <w:t>ביום 30.06.2007.</w:t>
      </w:r>
    </w:p>
    <w:p w:rsidR="001522CB" w:rsidRPr="00477723" w:rsidRDefault="001522CB" w:rsidP="001522CB">
      <w:pPr>
        <w:rPr>
          <w:sz w:val="20"/>
          <w:szCs w:val="20"/>
          <w:rtl/>
        </w:rPr>
      </w:pPr>
    </w:p>
    <w:p w:rsidR="001522CB" w:rsidRPr="008C6B1A" w:rsidRDefault="001522CB" w:rsidP="001522CB">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C7" w:rsidRDefault="00B774C7" w:rsidP="00B774C7">
    <w:pPr>
      <w:pStyle w:val="a8"/>
      <w:jc w:val="center"/>
      <w:rPr>
        <w:b/>
        <w:bCs/>
        <w:szCs w:val="36"/>
        <w:rtl/>
      </w:rPr>
    </w:pPr>
    <w:r>
      <w:rPr>
        <w:noProof/>
        <w:rtl/>
        <w:lang w:eastAsia="en-US"/>
      </w:rPr>
      <w:drawing>
        <wp:inline distT="0" distB="0" distL="0" distR="0" wp14:anchorId="4A0D850B" wp14:editId="03B5C706">
          <wp:extent cx="482498" cy="343814"/>
          <wp:effectExtent l="0" t="0" r="0" b="0"/>
          <wp:docPr id="5" name="תמונה 5" title="לוגו הרשות לשוק ההון ביטוח וחיסכ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A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830" t="20856" r="9117" b="21389"/>
                  <a:stretch/>
                </pic:blipFill>
                <pic:spPr bwMode="auto">
                  <a:xfrm>
                    <a:off x="0" y="0"/>
                    <a:ext cx="480878" cy="342659"/>
                  </a:xfrm>
                  <a:prstGeom prst="rect">
                    <a:avLst/>
                  </a:prstGeom>
                  <a:noFill/>
                  <a:ln>
                    <a:noFill/>
                  </a:ln>
                  <a:extLst>
                    <a:ext uri="{53640926-AAD7-44D8-BBD7-CCE9431645EC}">
                      <a14:shadowObscured xmlns:a14="http://schemas.microsoft.com/office/drawing/2010/main"/>
                    </a:ext>
                  </a:extLst>
                </pic:spPr>
              </pic:pic>
            </a:graphicData>
          </a:graphic>
        </wp:inline>
      </w:drawing>
    </w:r>
  </w:p>
  <w:p w:rsidR="00B774C7" w:rsidRDefault="00B774C7" w:rsidP="00B774C7">
    <w:pPr>
      <w:pStyle w:val="a8"/>
      <w:jc w:val="center"/>
      <w:rPr>
        <w:b/>
        <w:bCs/>
        <w:szCs w:val="36"/>
        <w:rtl/>
      </w:rPr>
    </w:pPr>
    <w:r>
      <w:rPr>
        <w:b/>
        <w:bCs/>
        <w:szCs w:val="36"/>
        <w:rtl/>
      </w:rPr>
      <w:t>מדינת ישראל</w:t>
    </w:r>
  </w:p>
  <w:p w:rsidR="00B774C7" w:rsidRDefault="00B774C7" w:rsidP="00B774C7">
    <w:pPr>
      <w:pStyle w:val="a8"/>
      <w:jc w:val="center"/>
      <w:rPr>
        <w:rtl/>
      </w:rPr>
    </w:pPr>
    <w:r>
      <w:rPr>
        <w:rFonts w:hint="cs"/>
        <w:szCs w:val="32"/>
        <w:rtl/>
      </w:rPr>
      <w:t>רשות</w:t>
    </w:r>
    <w:r>
      <w:rPr>
        <w:szCs w:val="32"/>
        <w:rtl/>
      </w:rPr>
      <w:t xml:space="preserve"> שוק ההון, ביטוח וח</w:t>
    </w:r>
    <w:r>
      <w:rPr>
        <w:rFonts w:hint="cs"/>
        <w:szCs w:val="32"/>
        <w:rtl/>
      </w:rPr>
      <w:t>י</w:t>
    </w:r>
    <w:r>
      <w:rPr>
        <w:szCs w:val="32"/>
        <w:rtl/>
      </w:rPr>
      <w:t>סכון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2797"/>
    <w:multiLevelType w:val="multilevel"/>
    <w:tmpl w:val="CB2CFB36"/>
    <w:numStyleLink w:val="-"/>
  </w:abstractNum>
  <w:abstractNum w:abstractNumId="1"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 w15:restartNumberingAfterBreak="0">
    <w:nsid w:val="14B05106"/>
    <w:multiLevelType w:val="hybridMultilevel"/>
    <w:tmpl w:val="29D2A2E6"/>
    <w:lvl w:ilvl="0" w:tplc="7CF8A7C2">
      <w:start w:val="1"/>
      <w:numFmt w:val="hebrew1"/>
      <w:lvlText w:val="(%1)"/>
      <w:lvlJc w:val="left"/>
      <w:pPr>
        <w:ind w:left="1595" w:hanging="360"/>
      </w:pPr>
      <w:rPr>
        <w:rFonts w:ascii="David" w:hAnsi="David" w:hint="default"/>
        <w:b w:val="0"/>
        <w:i w:val="0"/>
        <w:sz w:val="24"/>
      </w:rPr>
    </w:lvl>
    <w:lvl w:ilvl="1" w:tplc="04090019" w:tentative="1">
      <w:start w:val="1"/>
      <w:numFmt w:val="lowerLetter"/>
      <w:lvlText w:val="%2."/>
      <w:lvlJc w:val="left"/>
      <w:pPr>
        <w:ind w:left="2315" w:hanging="360"/>
      </w:pPr>
    </w:lvl>
    <w:lvl w:ilvl="2" w:tplc="0409001B" w:tentative="1">
      <w:start w:val="1"/>
      <w:numFmt w:val="lowerRoman"/>
      <w:lvlText w:val="%3."/>
      <w:lvlJc w:val="right"/>
      <w:pPr>
        <w:ind w:left="3035" w:hanging="180"/>
      </w:pPr>
    </w:lvl>
    <w:lvl w:ilvl="3" w:tplc="0409000F" w:tentative="1">
      <w:start w:val="1"/>
      <w:numFmt w:val="decimal"/>
      <w:lvlText w:val="%4."/>
      <w:lvlJc w:val="left"/>
      <w:pPr>
        <w:ind w:left="3755" w:hanging="360"/>
      </w:pPr>
    </w:lvl>
    <w:lvl w:ilvl="4" w:tplc="04090019" w:tentative="1">
      <w:start w:val="1"/>
      <w:numFmt w:val="lowerLetter"/>
      <w:lvlText w:val="%5."/>
      <w:lvlJc w:val="left"/>
      <w:pPr>
        <w:ind w:left="4475" w:hanging="360"/>
      </w:pPr>
    </w:lvl>
    <w:lvl w:ilvl="5" w:tplc="0409001B" w:tentative="1">
      <w:start w:val="1"/>
      <w:numFmt w:val="lowerRoman"/>
      <w:lvlText w:val="%6."/>
      <w:lvlJc w:val="right"/>
      <w:pPr>
        <w:ind w:left="5195" w:hanging="180"/>
      </w:pPr>
    </w:lvl>
    <w:lvl w:ilvl="6" w:tplc="0409000F" w:tentative="1">
      <w:start w:val="1"/>
      <w:numFmt w:val="decimal"/>
      <w:lvlText w:val="%7."/>
      <w:lvlJc w:val="left"/>
      <w:pPr>
        <w:ind w:left="5915" w:hanging="360"/>
      </w:pPr>
    </w:lvl>
    <w:lvl w:ilvl="7" w:tplc="04090019" w:tentative="1">
      <w:start w:val="1"/>
      <w:numFmt w:val="lowerLetter"/>
      <w:lvlText w:val="%8."/>
      <w:lvlJc w:val="left"/>
      <w:pPr>
        <w:ind w:left="6635" w:hanging="360"/>
      </w:pPr>
    </w:lvl>
    <w:lvl w:ilvl="8" w:tplc="0409001B" w:tentative="1">
      <w:start w:val="1"/>
      <w:numFmt w:val="lowerRoman"/>
      <w:lvlText w:val="%9."/>
      <w:lvlJc w:val="right"/>
      <w:pPr>
        <w:ind w:left="7355" w:hanging="180"/>
      </w:pPr>
    </w:lvl>
  </w:abstractNum>
  <w:abstractNum w:abstractNumId="3"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90D37"/>
    <w:multiLevelType w:val="multilevel"/>
    <w:tmpl w:val="2C7611E6"/>
    <w:numStyleLink w:val="-0"/>
  </w:abstractNum>
  <w:abstractNum w:abstractNumId="5" w15:restartNumberingAfterBreak="0">
    <w:nsid w:val="253777D3"/>
    <w:multiLevelType w:val="hybridMultilevel"/>
    <w:tmpl w:val="A968A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84A33"/>
    <w:multiLevelType w:val="multilevel"/>
    <w:tmpl w:val="56FECBFC"/>
    <w:lvl w:ilvl="0">
      <w:start w:val="1"/>
      <w:numFmt w:val="decimal"/>
      <w:lvlRestart w:val="0"/>
      <w:lvlText w:val="%1 ."/>
      <w:lvlJc w:val="left"/>
      <w:pPr>
        <w:tabs>
          <w:tab w:val="num" w:pos="397"/>
        </w:tabs>
        <w:ind w:left="397" w:hanging="397"/>
      </w:pPr>
    </w:lvl>
    <w:lvl w:ilvl="1">
      <w:start w:val="1"/>
      <w:numFmt w:val="decimal"/>
      <w:lvlText w:val="(%2)"/>
      <w:lvlJc w:val="left"/>
      <w:pPr>
        <w:tabs>
          <w:tab w:val="num" w:pos="794"/>
        </w:tabs>
        <w:ind w:left="794" w:hanging="397"/>
      </w:pPr>
      <w:rPr>
        <w:rFonts w:hint="default"/>
        <w:b/>
        <w:bCs/>
      </w:rPr>
    </w:lvl>
    <w:lvl w:ilvl="2">
      <w:start w:val="1"/>
      <w:numFmt w:val="decimal"/>
      <w:lvlText w:val="(%3)"/>
      <w:lvlJc w:val="left"/>
      <w:pPr>
        <w:tabs>
          <w:tab w:val="num" w:pos="1247"/>
        </w:tabs>
        <w:ind w:left="1247" w:hanging="453"/>
      </w:pPr>
      <w:rPr>
        <w:rFonts w:hint="default"/>
      </w:rPr>
    </w:lvl>
    <w:lvl w:ilvl="3">
      <w:start w:val="1"/>
      <w:numFmt w:val="hebrew1"/>
      <w:lvlText w:val="(%4)"/>
      <w:lvlJc w:val="left"/>
      <w:pPr>
        <w:tabs>
          <w:tab w:val="num" w:pos="1701"/>
        </w:tabs>
        <w:ind w:left="1701" w:hanging="454"/>
      </w:pPr>
      <w:rPr>
        <w:rFonts w:ascii="David" w:hAnsi="David" w:hint="default"/>
        <w:b w:val="0"/>
        <w:i w:val="0"/>
        <w:sz w:val="24"/>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7" w15:restartNumberingAfterBreak="0">
    <w:nsid w:val="3C055A5B"/>
    <w:multiLevelType w:val="hybridMultilevel"/>
    <w:tmpl w:val="3670C934"/>
    <w:lvl w:ilvl="0" w:tplc="8A2A02CE">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8" w15:restartNumberingAfterBreak="0">
    <w:nsid w:val="477D4CEE"/>
    <w:multiLevelType w:val="multilevel"/>
    <w:tmpl w:val="2C7611E6"/>
    <w:numStyleLink w:val="-0"/>
  </w:abstractNum>
  <w:abstractNum w:abstractNumId="9" w15:restartNumberingAfterBreak="0">
    <w:nsid w:val="478152E3"/>
    <w:multiLevelType w:val="multilevel"/>
    <w:tmpl w:val="141A885A"/>
    <w:lvl w:ilvl="0">
      <w:start w:val="1"/>
      <w:numFmt w:val="decimal"/>
      <w:lvlRestart w:val="0"/>
      <w:lvlText w:val="%1 ."/>
      <w:lvlJc w:val="left"/>
      <w:pPr>
        <w:tabs>
          <w:tab w:val="num" w:pos="397"/>
        </w:tabs>
        <w:ind w:left="397" w:hanging="397"/>
      </w:p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247"/>
        </w:tabs>
        <w:ind w:left="1247" w:hanging="453"/>
      </w:pPr>
      <w:rPr>
        <w:rFonts w:hint="default"/>
      </w:rPr>
    </w:lvl>
    <w:lvl w:ilvl="3">
      <w:start w:val="1"/>
      <w:numFmt w:val="hebrew1"/>
      <w:lvlText w:val="(%4)"/>
      <w:lvlJc w:val="left"/>
      <w:pPr>
        <w:tabs>
          <w:tab w:val="num" w:pos="1701"/>
        </w:tabs>
        <w:ind w:left="1701" w:hanging="454"/>
      </w:pPr>
      <w:rPr>
        <w:rFonts w:ascii="David" w:hAnsi="David" w:hint="default"/>
        <w:b w:val="0"/>
        <w:i w:val="0"/>
        <w:sz w:val="24"/>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0" w15:restartNumberingAfterBreak="0">
    <w:nsid w:val="4E096E91"/>
    <w:multiLevelType w:val="hybridMultilevel"/>
    <w:tmpl w:val="A968A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63965"/>
    <w:multiLevelType w:val="multilevel"/>
    <w:tmpl w:val="CB2CFB36"/>
    <w:numStyleLink w:val="-"/>
  </w:abstractNum>
  <w:abstractNum w:abstractNumId="12" w15:restartNumberingAfterBreak="0">
    <w:nsid w:val="5BDE1737"/>
    <w:multiLevelType w:val="hybridMultilevel"/>
    <w:tmpl w:val="055A8B58"/>
    <w:lvl w:ilvl="0" w:tplc="4128F670">
      <w:start w:val="1"/>
      <w:numFmt w:val="hebrew1"/>
      <w:lvlText w:val="(%1)"/>
      <w:lvlJc w:val="left"/>
      <w:pPr>
        <w:ind w:left="720" w:hanging="360"/>
      </w:pPr>
      <w:rPr>
        <w:rFonts w:ascii="David" w:hAnsi="David" w:hint="default"/>
        <w:b/>
        <w:bCs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6B1B4752"/>
    <w:multiLevelType w:val="hybridMultilevel"/>
    <w:tmpl w:val="B0B23758"/>
    <w:lvl w:ilvl="0" w:tplc="7CF8A7C2">
      <w:start w:val="1"/>
      <w:numFmt w:val="hebrew1"/>
      <w:lvlText w:val="(%1)"/>
      <w:lvlJc w:val="left"/>
      <w:pPr>
        <w:ind w:left="1453" w:hanging="360"/>
      </w:pPr>
      <w:rPr>
        <w:rFonts w:ascii="David" w:hAnsi="David" w:hint="default"/>
        <w:b w:val="0"/>
        <w:i w:val="0"/>
        <w:sz w:val="24"/>
      </w:rPr>
    </w:lvl>
    <w:lvl w:ilvl="1" w:tplc="04090019" w:tentative="1">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15" w15:restartNumberingAfterBreak="0">
    <w:nsid w:val="78F35570"/>
    <w:multiLevelType w:val="hybridMultilevel"/>
    <w:tmpl w:val="094A9DA6"/>
    <w:lvl w:ilvl="0" w:tplc="4EE87760">
      <w:start w:val="1"/>
      <w:numFmt w:val="decimal"/>
      <w:pStyle w:val="3"/>
      <w:lvlText w:val="%1."/>
      <w:lvlJc w:val="left"/>
      <w:pPr>
        <w:ind w:left="720" w:hanging="360"/>
      </w:pPr>
      <w:rPr>
        <w:rFonts w:ascii="David" w:hAnsi="David" w:cs="David"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3"/>
  </w:num>
  <w:num w:numId="3">
    <w:abstractNumId w:val="1"/>
  </w:num>
  <w:num w:numId="4">
    <w:abstractNumId w:val="3"/>
  </w:num>
  <w:num w:numId="5">
    <w:abstractNumId w:val="0"/>
  </w:num>
  <w:num w:numId="6">
    <w:abstractNumId w:val="8"/>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4"/>
  </w:num>
  <w:num w:numId="19">
    <w:abstractNumId w:val="5"/>
  </w:num>
  <w:num w:numId="20">
    <w:abstractNumId w:val="15"/>
    <w:lvlOverride w:ilvl="0">
      <w:startOverride w:val="1"/>
    </w:lvlOverride>
  </w:num>
  <w:num w:numId="21">
    <w:abstractNumId w:val="15"/>
  </w:num>
  <w:num w:numId="22">
    <w:abstractNumId w:val="15"/>
    <w:lvlOverride w:ilvl="0">
      <w:startOverride w:val="3"/>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57"/>
    <w:rsid w:val="00014182"/>
    <w:rsid w:val="00033CEF"/>
    <w:rsid w:val="00047C97"/>
    <w:rsid w:val="000520B7"/>
    <w:rsid w:val="000524C4"/>
    <w:rsid w:val="000568CE"/>
    <w:rsid w:val="00066383"/>
    <w:rsid w:val="00093B9D"/>
    <w:rsid w:val="000C04AE"/>
    <w:rsid w:val="000E6098"/>
    <w:rsid w:val="000E632C"/>
    <w:rsid w:val="000F2865"/>
    <w:rsid w:val="0010326C"/>
    <w:rsid w:val="001522CB"/>
    <w:rsid w:val="001611C6"/>
    <w:rsid w:val="00164B30"/>
    <w:rsid w:val="0018292D"/>
    <w:rsid w:val="001A1263"/>
    <w:rsid w:val="001A7C42"/>
    <w:rsid w:val="001C4F6D"/>
    <w:rsid w:val="001D4B5C"/>
    <w:rsid w:val="001D55DD"/>
    <w:rsid w:val="001E548A"/>
    <w:rsid w:val="00234B48"/>
    <w:rsid w:val="00242B4F"/>
    <w:rsid w:val="002661BF"/>
    <w:rsid w:val="00275887"/>
    <w:rsid w:val="00277B36"/>
    <w:rsid w:val="00297506"/>
    <w:rsid w:val="002A54A3"/>
    <w:rsid w:val="002A7FEA"/>
    <w:rsid w:val="002C1F9A"/>
    <w:rsid w:val="002D7789"/>
    <w:rsid w:val="002E38F4"/>
    <w:rsid w:val="002F197C"/>
    <w:rsid w:val="00325E01"/>
    <w:rsid w:val="003335D8"/>
    <w:rsid w:val="00341366"/>
    <w:rsid w:val="00361114"/>
    <w:rsid w:val="003840FE"/>
    <w:rsid w:val="00393C6A"/>
    <w:rsid w:val="003A1D7A"/>
    <w:rsid w:val="003C296E"/>
    <w:rsid w:val="003C3A5C"/>
    <w:rsid w:val="003D1A57"/>
    <w:rsid w:val="003F1396"/>
    <w:rsid w:val="0040055E"/>
    <w:rsid w:val="004169B7"/>
    <w:rsid w:val="00423D6A"/>
    <w:rsid w:val="00426E0E"/>
    <w:rsid w:val="004323EF"/>
    <w:rsid w:val="00440E23"/>
    <w:rsid w:val="004410DE"/>
    <w:rsid w:val="0044663B"/>
    <w:rsid w:val="00451F2E"/>
    <w:rsid w:val="004523EB"/>
    <w:rsid w:val="00452D7A"/>
    <w:rsid w:val="00495FD3"/>
    <w:rsid w:val="004C127D"/>
    <w:rsid w:val="004C5538"/>
    <w:rsid w:val="004D65A1"/>
    <w:rsid w:val="004E479D"/>
    <w:rsid w:val="004F3773"/>
    <w:rsid w:val="005010A7"/>
    <w:rsid w:val="005028F9"/>
    <w:rsid w:val="00505D36"/>
    <w:rsid w:val="0051308D"/>
    <w:rsid w:val="00515321"/>
    <w:rsid w:val="00515E5C"/>
    <w:rsid w:val="00534452"/>
    <w:rsid w:val="005371D8"/>
    <w:rsid w:val="00541E2C"/>
    <w:rsid w:val="005557E0"/>
    <w:rsid w:val="00556BE2"/>
    <w:rsid w:val="0057486A"/>
    <w:rsid w:val="005D42E4"/>
    <w:rsid w:val="00600BFA"/>
    <w:rsid w:val="00600F1F"/>
    <w:rsid w:val="00602DAD"/>
    <w:rsid w:val="006309B0"/>
    <w:rsid w:val="0066664E"/>
    <w:rsid w:val="00692C69"/>
    <w:rsid w:val="006952CA"/>
    <w:rsid w:val="006A13C9"/>
    <w:rsid w:val="006A2503"/>
    <w:rsid w:val="006A5446"/>
    <w:rsid w:val="006B352E"/>
    <w:rsid w:val="006C0D4A"/>
    <w:rsid w:val="006C55AF"/>
    <w:rsid w:val="006D0744"/>
    <w:rsid w:val="006D686D"/>
    <w:rsid w:val="006D751D"/>
    <w:rsid w:val="006E5942"/>
    <w:rsid w:val="00706164"/>
    <w:rsid w:val="007333F2"/>
    <w:rsid w:val="00735D55"/>
    <w:rsid w:val="00743847"/>
    <w:rsid w:val="00751B50"/>
    <w:rsid w:val="00751FC9"/>
    <w:rsid w:val="00757313"/>
    <w:rsid w:val="00757879"/>
    <w:rsid w:val="007611DA"/>
    <w:rsid w:val="00793E5C"/>
    <w:rsid w:val="007A373A"/>
    <w:rsid w:val="007D4118"/>
    <w:rsid w:val="007E2692"/>
    <w:rsid w:val="007F390F"/>
    <w:rsid w:val="0080160A"/>
    <w:rsid w:val="0082739B"/>
    <w:rsid w:val="00864CA9"/>
    <w:rsid w:val="00864DB3"/>
    <w:rsid w:val="00867AE5"/>
    <w:rsid w:val="00870D8A"/>
    <w:rsid w:val="008779A5"/>
    <w:rsid w:val="008B39D7"/>
    <w:rsid w:val="008E77BE"/>
    <w:rsid w:val="00910BC9"/>
    <w:rsid w:val="00915C9A"/>
    <w:rsid w:val="00935E81"/>
    <w:rsid w:val="00986444"/>
    <w:rsid w:val="00990A24"/>
    <w:rsid w:val="009B64FE"/>
    <w:rsid w:val="009E0AEA"/>
    <w:rsid w:val="009E52B5"/>
    <w:rsid w:val="009F7F7A"/>
    <w:rsid w:val="00A15876"/>
    <w:rsid w:val="00A15D5D"/>
    <w:rsid w:val="00A30921"/>
    <w:rsid w:val="00A5751E"/>
    <w:rsid w:val="00A67A4F"/>
    <w:rsid w:val="00A7396A"/>
    <w:rsid w:val="00A73972"/>
    <w:rsid w:val="00A84333"/>
    <w:rsid w:val="00A84658"/>
    <w:rsid w:val="00AA4752"/>
    <w:rsid w:val="00AC0823"/>
    <w:rsid w:val="00AD0167"/>
    <w:rsid w:val="00AF1C47"/>
    <w:rsid w:val="00B03E2B"/>
    <w:rsid w:val="00B041F7"/>
    <w:rsid w:val="00B20239"/>
    <w:rsid w:val="00B311D4"/>
    <w:rsid w:val="00B36067"/>
    <w:rsid w:val="00B429D7"/>
    <w:rsid w:val="00B451C7"/>
    <w:rsid w:val="00B60EE6"/>
    <w:rsid w:val="00B616E8"/>
    <w:rsid w:val="00B67385"/>
    <w:rsid w:val="00B75311"/>
    <w:rsid w:val="00B774C7"/>
    <w:rsid w:val="00B93390"/>
    <w:rsid w:val="00B93A25"/>
    <w:rsid w:val="00BB393A"/>
    <w:rsid w:val="00BD67E7"/>
    <w:rsid w:val="00C01906"/>
    <w:rsid w:val="00C171DC"/>
    <w:rsid w:val="00C17A39"/>
    <w:rsid w:val="00C22977"/>
    <w:rsid w:val="00C27AC8"/>
    <w:rsid w:val="00C37F33"/>
    <w:rsid w:val="00C62120"/>
    <w:rsid w:val="00C84ABA"/>
    <w:rsid w:val="00C928FA"/>
    <w:rsid w:val="00CA61AF"/>
    <w:rsid w:val="00CB40A4"/>
    <w:rsid w:val="00CC356E"/>
    <w:rsid w:val="00CD6DB8"/>
    <w:rsid w:val="00CE0517"/>
    <w:rsid w:val="00CF44BB"/>
    <w:rsid w:val="00D25F9F"/>
    <w:rsid w:val="00D33979"/>
    <w:rsid w:val="00D43E24"/>
    <w:rsid w:val="00D66453"/>
    <w:rsid w:val="00D731DA"/>
    <w:rsid w:val="00D969C1"/>
    <w:rsid w:val="00DD5320"/>
    <w:rsid w:val="00DE069A"/>
    <w:rsid w:val="00DE7CC8"/>
    <w:rsid w:val="00DE7D83"/>
    <w:rsid w:val="00DF73FF"/>
    <w:rsid w:val="00E23B4B"/>
    <w:rsid w:val="00E41B31"/>
    <w:rsid w:val="00E56588"/>
    <w:rsid w:val="00E95EEF"/>
    <w:rsid w:val="00EA3696"/>
    <w:rsid w:val="00EA6729"/>
    <w:rsid w:val="00EC303E"/>
    <w:rsid w:val="00EF71D7"/>
    <w:rsid w:val="00F00D41"/>
    <w:rsid w:val="00F0592A"/>
    <w:rsid w:val="00F25ABF"/>
    <w:rsid w:val="00F34A74"/>
    <w:rsid w:val="00F509E4"/>
    <w:rsid w:val="00F74EF7"/>
    <w:rsid w:val="00F80DA7"/>
    <w:rsid w:val="00F95710"/>
    <w:rsid w:val="00F975CB"/>
    <w:rsid w:val="00FB752D"/>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F59F1E-E9FC-4E30-8C00-061F4191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A57"/>
    <w:pPr>
      <w:bidi/>
      <w:spacing w:before="0" w:after="0" w:line="240" w:lineRule="auto"/>
      <w:jc w:val="both"/>
    </w:pPr>
    <w:rPr>
      <w:rFonts w:ascii="Times New Roman" w:eastAsia="Times New Roman" w:hAnsi="Times New Roman" w:cs="FrankRuehl"/>
      <w:sz w:val="26"/>
      <w:szCs w:val="26"/>
      <w:lang w:eastAsia="he-IL"/>
    </w:rPr>
  </w:style>
  <w:style w:type="paragraph" w:styleId="1">
    <w:name w:val="heading 1"/>
    <w:basedOn w:val="a"/>
    <w:next w:val="a"/>
    <w:link w:val="10"/>
    <w:uiPriority w:val="9"/>
    <w:qFormat/>
    <w:rsid w:val="001522CB"/>
    <w:pPr>
      <w:ind w:left="651" w:hanging="651"/>
      <w:jc w:val="center"/>
      <w:outlineLvl w:val="0"/>
    </w:pPr>
    <w:rPr>
      <w:rFonts w:cs="David"/>
      <w:b/>
      <w:bCs/>
      <w:sz w:val="28"/>
      <w:szCs w:val="28"/>
      <w:u w:val="single"/>
    </w:rPr>
  </w:style>
  <w:style w:type="paragraph" w:styleId="2">
    <w:name w:val="heading 2"/>
    <w:basedOn w:val="a"/>
    <w:next w:val="a"/>
    <w:link w:val="20"/>
    <w:uiPriority w:val="9"/>
    <w:unhideWhenUsed/>
    <w:qFormat/>
    <w:rsid w:val="001522CB"/>
    <w:pPr>
      <w:spacing w:before="120" w:after="120" w:line="360" w:lineRule="auto"/>
      <w:ind w:left="720" w:hanging="360"/>
      <w:contextualSpacing/>
      <w:outlineLvl w:val="1"/>
    </w:pPr>
    <w:rPr>
      <w:rFonts w:ascii="David" w:eastAsiaTheme="minorHAnsi" w:hAnsi="David" w:cs="David"/>
      <w:b/>
      <w:bCs/>
      <w:sz w:val="24"/>
      <w:szCs w:val="24"/>
      <w:lang w:eastAsia="en-US"/>
    </w:rPr>
  </w:style>
  <w:style w:type="paragraph" w:styleId="3">
    <w:name w:val="heading 3"/>
    <w:basedOn w:val="a"/>
    <w:next w:val="a"/>
    <w:link w:val="30"/>
    <w:uiPriority w:val="9"/>
    <w:unhideWhenUsed/>
    <w:qFormat/>
    <w:rsid w:val="001522CB"/>
    <w:pPr>
      <w:numPr>
        <w:numId w:val="11"/>
      </w:numPr>
      <w:spacing w:before="120" w:after="120" w:line="360" w:lineRule="auto"/>
      <w:contextualSpacing/>
      <w:outlineLvl w:val="2"/>
    </w:pPr>
    <w:rPr>
      <w:rFonts w:ascii="David" w:eastAsiaTheme="minorHAnsi" w:hAnsi="David" w:cs="David"/>
      <w:b/>
      <w:bCs/>
      <w:sz w:val="24"/>
      <w:szCs w:val="24"/>
      <w:lang w:eastAsia="en-US"/>
    </w:rPr>
  </w:style>
  <w:style w:type="paragraph" w:styleId="4">
    <w:name w:val="heading 4"/>
    <w:basedOn w:val="a"/>
    <w:next w:val="a"/>
    <w:link w:val="40"/>
    <w:uiPriority w:val="9"/>
    <w:unhideWhenUsed/>
    <w:qFormat/>
    <w:rsid w:val="003A1D7A"/>
    <w:pPr>
      <w:bidi w:val="0"/>
      <w:spacing w:before="300" w:line="360" w:lineRule="auto"/>
      <w:outlineLvl w:val="3"/>
    </w:pPr>
    <w:rPr>
      <w:rFonts w:eastAsiaTheme="minorHAnsi"/>
      <w:b/>
      <w:bCs/>
      <w:caps/>
      <w:spacing w:val="10"/>
      <w:sz w:val="24"/>
      <w:lang w:eastAsia="en-US"/>
    </w:rPr>
  </w:style>
  <w:style w:type="paragraph" w:styleId="5">
    <w:name w:val="heading 5"/>
    <w:basedOn w:val="a"/>
    <w:next w:val="a"/>
    <w:link w:val="50"/>
    <w:uiPriority w:val="9"/>
    <w:unhideWhenUsed/>
    <w:qFormat/>
    <w:rsid w:val="003A1D7A"/>
    <w:pPr>
      <w:widowControl w:val="0"/>
      <w:bidi w:val="0"/>
      <w:spacing w:before="300" w:line="360" w:lineRule="auto"/>
      <w:outlineLvl w:val="4"/>
    </w:pPr>
    <w:rPr>
      <w:rFonts w:eastAsiaTheme="minorHAnsi"/>
      <w:b/>
      <w:bCs/>
      <w:caps/>
      <w:spacing w:val="10"/>
      <w:sz w:val="24"/>
      <w:lang w:eastAsia="en-US"/>
    </w:rPr>
  </w:style>
  <w:style w:type="paragraph" w:styleId="6">
    <w:name w:val="heading 6"/>
    <w:basedOn w:val="a"/>
    <w:next w:val="a"/>
    <w:link w:val="60"/>
    <w:uiPriority w:val="9"/>
    <w:unhideWhenUsed/>
    <w:qFormat/>
    <w:rsid w:val="00066383"/>
    <w:pPr>
      <w:widowControl w:val="0"/>
      <w:bidi w:val="0"/>
      <w:spacing w:before="300" w:line="360" w:lineRule="auto"/>
      <w:outlineLvl w:val="5"/>
    </w:pPr>
    <w:rPr>
      <w:rFonts w:eastAsiaTheme="minorHAnsi"/>
      <w:b/>
      <w:bCs/>
      <w:caps/>
      <w:spacing w:val="10"/>
      <w:sz w:val="24"/>
      <w:lang w:eastAsia="en-US"/>
    </w:rPr>
  </w:style>
  <w:style w:type="paragraph" w:styleId="7">
    <w:name w:val="heading 7"/>
    <w:basedOn w:val="a"/>
    <w:next w:val="a"/>
    <w:link w:val="70"/>
    <w:uiPriority w:val="9"/>
    <w:unhideWhenUsed/>
    <w:qFormat/>
    <w:rsid w:val="003A1D7A"/>
    <w:pPr>
      <w:widowControl w:val="0"/>
      <w:bidi w:val="0"/>
      <w:spacing w:before="300" w:line="360" w:lineRule="auto"/>
      <w:outlineLvl w:val="6"/>
    </w:pPr>
    <w:rPr>
      <w:rFonts w:eastAsiaTheme="minorHAnsi"/>
      <w:b/>
      <w:bCs/>
      <w:caps/>
      <w:spacing w:val="10"/>
      <w:sz w:val="24"/>
      <w:lang w:eastAsia="en-US"/>
    </w:rPr>
  </w:style>
  <w:style w:type="paragraph" w:styleId="8">
    <w:name w:val="heading 8"/>
    <w:basedOn w:val="a"/>
    <w:next w:val="a"/>
    <w:link w:val="80"/>
    <w:uiPriority w:val="9"/>
    <w:semiHidden/>
    <w:unhideWhenUsed/>
    <w:qFormat/>
    <w:rsid w:val="00014182"/>
    <w:pPr>
      <w:bidi w:val="0"/>
      <w:spacing w:before="300" w:line="360" w:lineRule="auto"/>
      <w:outlineLvl w:val="7"/>
    </w:pPr>
    <w:rPr>
      <w:rFonts w:eastAsiaTheme="minorHAnsi"/>
      <w:caps/>
      <w:spacing w:val="10"/>
      <w:sz w:val="18"/>
      <w:szCs w:val="18"/>
      <w:lang w:eastAsia="en-US"/>
    </w:rPr>
  </w:style>
  <w:style w:type="paragraph" w:styleId="9">
    <w:name w:val="heading 9"/>
    <w:basedOn w:val="a"/>
    <w:next w:val="a"/>
    <w:link w:val="90"/>
    <w:uiPriority w:val="9"/>
    <w:semiHidden/>
    <w:unhideWhenUsed/>
    <w:qFormat/>
    <w:rsid w:val="00014182"/>
    <w:pPr>
      <w:bidi w:val="0"/>
      <w:spacing w:before="300" w:line="360" w:lineRule="auto"/>
      <w:outlineLvl w:val="8"/>
    </w:pPr>
    <w:rPr>
      <w:rFonts w:eastAsiaTheme="minorHAnsi"/>
      <w:i/>
      <w:caps/>
      <w:spacing w:val="1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522CB"/>
    <w:rPr>
      <w:rFonts w:ascii="Times New Roman" w:eastAsia="Times New Roman" w:hAnsi="Times New Roman" w:cs="David"/>
      <w:b/>
      <w:bCs/>
      <w:sz w:val="28"/>
      <w:szCs w:val="28"/>
      <w:u w:val="single"/>
      <w:lang w:eastAsia="he-IL"/>
    </w:rPr>
  </w:style>
  <w:style w:type="paragraph" w:styleId="a3">
    <w:name w:val="Quote"/>
    <w:basedOn w:val="a"/>
    <w:next w:val="a"/>
    <w:link w:val="a4"/>
    <w:uiPriority w:val="29"/>
    <w:qFormat/>
    <w:rsid w:val="003A1D7A"/>
    <w:pPr>
      <w:widowControl w:val="0"/>
      <w:spacing w:before="120" w:after="120" w:line="360" w:lineRule="auto"/>
      <w:ind w:left="567" w:right="567"/>
    </w:pPr>
    <w:rPr>
      <w:rFonts w:eastAsiaTheme="minorHAnsi"/>
      <w:i/>
      <w:iCs/>
      <w:sz w:val="24"/>
      <w:lang w:eastAsia="en-U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uiPriority w:val="9"/>
    <w:rsid w:val="001522CB"/>
    <w:rPr>
      <w:rFonts w:ascii="David" w:hAnsi="David" w:cs="David"/>
      <w:b/>
      <w:bCs/>
      <w:sz w:val="24"/>
      <w:szCs w:val="24"/>
    </w:rPr>
  </w:style>
  <w:style w:type="character" w:customStyle="1" w:styleId="30">
    <w:name w:val="כותרת 3 תו"/>
    <w:basedOn w:val="a0"/>
    <w:link w:val="3"/>
    <w:uiPriority w:val="9"/>
    <w:rsid w:val="001522CB"/>
    <w:rPr>
      <w:rFonts w:ascii="David" w:hAnsi="David" w:cs="David"/>
      <w:b/>
      <w:bCs/>
      <w:sz w:val="24"/>
      <w:szCs w:val="24"/>
    </w:rPr>
  </w:style>
  <w:style w:type="character" w:customStyle="1" w:styleId="40">
    <w:name w:val="כותרת 4 תו"/>
    <w:basedOn w:val="a0"/>
    <w:link w:val="4"/>
    <w:uiPriority w:val="9"/>
    <w:rsid w:val="003A1D7A"/>
    <w:rPr>
      <w:rFonts w:ascii="Times New Roman" w:hAnsi="Times New Roman" w:cs="David"/>
      <w:b/>
      <w:bCs/>
      <w:caps/>
      <w:spacing w:val="10"/>
      <w:sz w:val="24"/>
      <w:szCs w:val="24"/>
    </w:rPr>
  </w:style>
  <w:style w:type="character" w:customStyle="1" w:styleId="50">
    <w:name w:val="כותרת 5 תו"/>
    <w:basedOn w:val="a0"/>
    <w:link w:val="5"/>
    <w:uiPriority w:val="9"/>
    <w:rsid w:val="003A1D7A"/>
    <w:rPr>
      <w:rFonts w:ascii="Times New Roman" w:hAnsi="Times New Roman" w:cs="David"/>
      <w:b/>
      <w:bCs/>
      <w:caps/>
      <w:spacing w:val="10"/>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spacing w:before="120" w:after="120" w:line="360" w:lineRule="auto"/>
    </w:pPr>
    <w:rPr>
      <w:rFonts w:eastAsiaTheme="minorHAnsi"/>
      <w:b/>
      <w:bCs/>
      <w:color w:val="365F91" w:themeColor="accent1" w:themeShade="BF"/>
      <w:sz w:val="16"/>
      <w:szCs w:val="16"/>
      <w:lang w:eastAsia="en-US"/>
    </w:rPr>
  </w:style>
  <w:style w:type="paragraph" w:styleId="a6">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ind w:left="482"/>
    </w:pPr>
    <w:rPr>
      <w:rFonts w:eastAsiaTheme="minorHAnsi"/>
      <w:sz w:val="24"/>
      <w:lang w:eastAsia="en-US"/>
    </w:rPr>
  </w:style>
  <w:style w:type="paragraph" w:styleId="TOC1">
    <w:name w:val="toc 1"/>
    <w:basedOn w:val="a"/>
    <w:next w:val="a"/>
    <w:autoRedefine/>
    <w:uiPriority w:val="39"/>
    <w:unhideWhenUsed/>
    <w:rsid w:val="00600BFA"/>
    <w:pPr>
      <w:widowControl w:val="0"/>
      <w:tabs>
        <w:tab w:val="right" w:leader="dot" w:pos="8296"/>
      </w:tabs>
      <w:spacing w:before="100" w:after="100"/>
    </w:pPr>
    <w:rPr>
      <w:rFonts w:eastAsiaTheme="minorHAnsi"/>
      <w:sz w:val="24"/>
      <w:lang w:eastAsia="en-US"/>
    </w:rPr>
  </w:style>
  <w:style w:type="paragraph" w:styleId="TOC2">
    <w:name w:val="toc 2"/>
    <w:basedOn w:val="a"/>
    <w:next w:val="a"/>
    <w:autoRedefine/>
    <w:uiPriority w:val="39"/>
    <w:unhideWhenUsed/>
    <w:rsid w:val="00600BFA"/>
    <w:pPr>
      <w:widowControl w:val="0"/>
      <w:tabs>
        <w:tab w:val="right" w:leader="dot" w:pos="8296"/>
      </w:tabs>
      <w:spacing w:before="100" w:after="100"/>
      <w:ind w:left="238"/>
    </w:pPr>
    <w:rPr>
      <w:rFonts w:eastAsiaTheme="minorHAnsi"/>
      <w:sz w:val="24"/>
      <w:lang w:eastAsia="en-US"/>
    </w:rPr>
  </w:style>
  <w:style w:type="paragraph" w:styleId="TOC7">
    <w:name w:val="toc 7"/>
    <w:basedOn w:val="a"/>
    <w:next w:val="a"/>
    <w:autoRedefine/>
    <w:uiPriority w:val="39"/>
    <w:unhideWhenUsed/>
    <w:rsid w:val="00600BFA"/>
    <w:pPr>
      <w:widowControl w:val="0"/>
      <w:tabs>
        <w:tab w:val="right" w:leader="dot" w:pos="8296"/>
      </w:tabs>
      <w:spacing w:before="100" w:after="100"/>
      <w:ind w:left="1440"/>
    </w:pPr>
    <w:rPr>
      <w:rFonts w:eastAsiaTheme="minorHAnsi"/>
      <w:sz w:val="24"/>
      <w:lang w:eastAsia="en-US"/>
    </w:rPr>
  </w:style>
  <w:style w:type="paragraph" w:styleId="TOC6">
    <w:name w:val="toc 6"/>
    <w:basedOn w:val="a"/>
    <w:next w:val="a"/>
    <w:autoRedefine/>
    <w:uiPriority w:val="39"/>
    <w:unhideWhenUsed/>
    <w:rsid w:val="00600BFA"/>
    <w:pPr>
      <w:widowControl w:val="0"/>
      <w:tabs>
        <w:tab w:val="right" w:leader="dot" w:pos="8296"/>
      </w:tabs>
      <w:spacing w:before="100" w:after="100"/>
      <w:ind w:left="1202"/>
      <w:contextualSpacing/>
    </w:pPr>
    <w:rPr>
      <w:rFonts w:eastAsiaTheme="minorHAnsi"/>
      <w:sz w:val="24"/>
      <w:lang w:eastAsia="en-US"/>
    </w:rPr>
  </w:style>
  <w:style w:type="paragraph" w:styleId="TOC5">
    <w:name w:val="toc 5"/>
    <w:basedOn w:val="a"/>
    <w:next w:val="a"/>
    <w:autoRedefine/>
    <w:uiPriority w:val="39"/>
    <w:unhideWhenUsed/>
    <w:rsid w:val="00600BFA"/>
    <w:pPr>
      <w:widowControl w:val="0"/>
      <w:tabs>
        <w:tab w:val="right" w:leader="dot" w:pos="8296"/>
      </w:tabs>
      <w:spacing w:before="100" w:after="100"/>
      <w:ind w:left="958"/>
    </w:pPr>
    <w:rPr>
      <w:rFonts w:eastAsiaTheme="minorHAnsi"/>
      <w:sz w:val="24"/>
      <w:lang w:eastAsia="en-US"/>
    </w:rPr>
  </w:style>
  <w:style w:type="paragraph" w:styleId="TOC4">
    <w:name w:val="toc 4"/>
    <w:basedOn w:val="a"/>
    <w:next w:val="a"/>
    <w:autoRedefine/>
    <w:uiPriority w:val="39"/>
    <w:unhideWhenUsed/>
    <w:rsid w:val="00600BFA"/>
    <w:pPr>
      <w:widowControl w:val="0"/>
      <w:spacing w:before="100" w:after="100"/>
      <w:ind w:left="720"/>
    </w:pPr>
    <w:rPr>
      <w:rFonts w:eastAsiaTheme="minorHAnsi"/>
      <w:sz w:val="24"/>
      <w:lang w:eastAsia="en-US"/>
    </w:rPr>
  </w:style>
  <w:style w:type="paragraph" w:styleId="a7">
    <w:name w:val="List Paragraph"/>
    <w:basedOn w:val="a"/>
    <w:uiPriority w:val="34"/>
    <w:rsid w:val="00FE3193"/>
    <w:pPr>
      <w:spacing w:before="120" w:after="120" w:line="360" w:lineRule="auto"/>
      <w:ind w:left="720"/>
      <w:contextualSpacing/>
    </w:pPr>
    <w:rPr>
      <w:rFonts w:eastAsiaTheme="minorHAnsi"/>
      <w:sz w:val="24"/>
      <w:lang w:eastAsia="en-US"/>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8">
    <w:name w:val="header"/>
    <w:basedOn w:val="a"/>
    <w:link w:val="a9"/>
    <w:rsid w:val="003D1A57"/>
    <w:pPr>
      <w:tabs>
        <w:tab w:val="center" w:pos="4153"/>
        <w:tab w:val="right" w:pos="8306"/>
      </w:tabs>
    </w:pPr>
  </w:style>
  <w:style w:type="character" w:customStyle="1" w:styleId="a9">
    <w:name w:val="כותרת עליונה תו"/>
    <w:basedOn w:val="a0"/>
    <w:link w:val="a8"/>
    <w:rsid w:val="003D1A57"/>
    <w:rPr>
      <w:rFonts w:ascii="Times New Roman" w:eastAsia="Times New Roman" w:hAnsi="Times New Roman" w:cs="FrankRuehl"/>
      <w:sz w:val="26"/>
      <w:szCs w:val="26"/>
      <w:lang w:eastAsia="he-IL"/>
    </w:rPr>
  </w:style>
  <w:style w:type="paragraph" w:styleId="aa">
    <w:name w:val="footer"/>
    <w:basedOn w:val="a"/>
    <w:link w:val="ab"/>
    <w:rsid w:val="003D1A57"/>
    <w:pPr>
      <w:widowControl w:val="0"/>
      <w:tabs>
        <w:tab w:val="center" w:pos="4153"/>
        <w:tab w:val="right" w:pos="8306"/>
      </w:tabs>
    </w:pPr>
    <w:rPr>
      <w:rFonts w:cs="David"/>
    </w:rPr>
  </w:style>
  <w:style w:type="character" w:customStyle="1" w:styleId="ab">
    <w:name w:val="כותרת תחתונה תו"/>
    <w:basedOn w:val="a0"/>
    <w:link w:val="aa"/>
    <w:rsid w:val="003D1A57"/>
    <w:rPr>
      <w:rFonts w:ascii="Times New Roman" w:eastAsia="Times New Roman" w:hAnsi="Times New Roman" w:cs="David"/>
      <w:sz w:val="26"/>
      <w:szCs w:val="26"/>
      <w:lang w:eastAsia="he-IL"/>
    </w:rPr>
  </w:style>
  <w:style w:type="character" w:styleId="Hyperlink">
    <w:name w:val="Hyperlink"/>
    <w:rsid w:val="003D1A57"/>
    <w:rPr>
      <w:color w:val="0000FF"/>
      <w:u w:val="single"/>
    </w:rPr>
  </w:style>
  <w:style w:type="paragraph" w:styleId="ac">
    <w:name w:val="Balloon Text"/>
    <w:basedOn w:val="a"/>
    <w:link w:val="ad"/>
    <w:uiPriority w:val="99"/>
    <w:semiHidden/>
    <w:unhideWhenUsed/>
    <w:rsid w:val="003D1A57"/>
    <w:rPr>
      <w:rFonts w:ascii="Tahoma" w:hAnsi="Tahoma" w:cs="Tahoma"/>
      <w:sz w:val="16"/>
      <w:szCs w:val="16"/>
    </w:rPr>
  </w:style>
  <w:style w:type="character" w:customStyle="1" w:styleId="ad">
    <w:name w:val="טקסט בלונים תו"/>
    <w:basedOn w:val="a0"/>
    <w:link w:val="ac"/>
    <w:uiPriority w:val="99"/>
    <w:semiHidden/>
    <w:rsid w:val="003D1A57"/>
    <w:rPr>
      <w:rFonts w:ascii="Tahoma" w:eastAsia="Times New Roman" w:hAnsi="Tahoma" w:cs="Tahoma"/>
      <w:sz w:val="16"/>
      <w:szCs w:val="16"/>
      <w:lang w:eastAsia="he-IL"/>
    </w:rPr>
  </w:style>
  <w:style w:type="paragraph" w:styleId="ae">
    <w:name w:val="annotation text"/>
    <w:basedOn w:val="a"/>
    <w:link w:val="af"/>
    <w:uiPriority w:val="99"/>
    <w:unhideWhenUsed/>
    <w:rsid w:val="001522CB"/>
    <w:rPr>
      <w:sz w:val="20"/>
      <w:szCs w:val="20"/>
    </w:rPr>
  </w:style>
  <w:style w:type="character" w:customStyle="1" w:styleId="af">
    <w:name w:val="טקסט הערה תו"/>
    <w:basedOn w:val="a0"/>
    <w:link w:val="ae"/>
    <w:uiPriority w:val="99"/>
    <w:rsid w:val="001522CB"/>
    <w:rPr>
      <w:rFonts w:ascii="Times New Roman" w:eastAsia="Times New Roman" w:hAnsi="Times New Roman" w:cs="FrankRuehl"/>
      <w:sz w:val="20"/>
      <w:szCs w:val="20"/>
      <w:lang w:eastAsia="he-IL"/>
    </w:rPr>
  </w:style>
  <w:style w:type="character" w:styleId="af0">
    <w:name w:val="annotation reference"/>
    <w:basedOn w:val="a0"/>
    <w:uiPriority w:val="99"/>
    <w:semiHidden/>
    <w:unhideWhenUsed/>
    <w:rsid w:val="001522CB"/>
    <w:rPr>
      <w:sz w:val="16"/>
      <w:szCs w:val="16"/>
    </w:rPr>
  </w:style>
  <w:style w:type="paragraph" w:styleId="af1">
    <w:name w:val="footnote text"/>
    <w:basedOn w:val="a"/>
    <w:link w:val="af2"/>
    <w:uiPriority w:val="99"/>
    <w:semiHidden/>
    <w:unhideWhenUsed/>
    <w:rsid w:val="001522CB"/>
    <w:pPr>
      <w:ind w:left="397"/>
    </w:pPr>
    <w:rPr>
      <w:rFonts w:cs="David"/>
      <w:sz w:val="20"/>
      <w:szCs w:val="20"/>
    </w:rPr>
  </w:style>
  <w:style w:type="character" w:customStyle="1" w:styleId="af2">
    <w:name w:val="טקסט הערת שוליים תו"/>
    <w:basedOn w:val="a0"/>
    <w:link w:val="af1"/>
    <w:uiPriority w:val="99"/>
    <w:semiHidden/>
    <w:rsid w:val="001522CB"/>
    <w:rPr>
      <w:rFonts w:ascii="Times New Roman" w:eastAsia="Times New Roman" w:hAnsi="Times New Roman" w:cs="David"/>
      <w:sz w:val="20"/>
      <w:szCs w:val="20"/>
      <w:lang w:eastAsia="he-IL"/>
    </w:rPr>
  </w:style>
  <w:style w:type="character" w:styleId="af3">
    <w:name w:val="footnote reference"/>
    <w:basedOn w:val="a0"/>
    <w:uiPriority w:val="99"/>
    <w:semiHidden/>
    <w:unhideWhenUsed/>
    <w:rsid w:val="00152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92457fac7d145f98e698f5712f6a6a4 xmlns="a46656d4-8850-49b3-aebd-68bd05f7f43d">
      <Terms xmlns="http://schemas.microsoft.com/office/infopath/2007/PartnerControls"/>
    </j92457fac7d145f98e698f5712f6a6a4>
    <TaxCatchAll xmlns="a46656d4-8850-49b3-aebd-68bd05f7f43d"/>
    <e4b5484c9c824b148c38bfcb2bd74c0d xmlns="a46656d4-8850-49b3-aebd-68bd05f7f43d">
      <Terms xmlns="http://schemas.microsoft.com/office/infopath/2007/PartnerControls"/>
    </e4b5484c9c824b148c38bfcb2bd74c0d>
    <o68cd33f8d3a45abb273b6e406faee3d xmlns="a46656d4-8850-49b3-aebd-68bd05f7f43d">
      <Terms xmlns="http://schemas.microsoft.com/office/infopath/2007/PartnerControls"/>
    </o68cd33f8d3a45abb273b6e406faee3d>
    <kb4cc1381c4248d7a2dfa3f1be0c86c0 xmlns="a46656d4-8850-49b3-aebd-68bd05f7f43d">
      <Terms xmlns="http://schemas.microsoft.com/office/infopath/2007/PartnerControls"/>
    </kb4cc1381c4248d7a2dfa3f1be0c86c0>
    <o80fb9e8b9d445b0bb174fdcd68ee89c xmlns="a46656d4-8850-49b3-aebd-68bd05f7f43d">
      <Terms xmlns="http://schemas.microsoft.com/office/infopath/2007/PartnerControls"/>
    </o80fb9e8b9d445b0bb174fdcd68ee89c>
    <n612d9597dc7466f957352ce79be86f3 xmlns="a46656d4-8850-49b3-aebd-68bd05f7f43d">
      <Terms xmlns="http://schemas.microsoft.com/office/infopath/2007/PartnerControls"/>
    </n612d9597dc7466f957352ce79be86f3>
    <aa1c885e8039426686f6c49672b09953 xmlns="a46656d4-8850-49b3-aebd-68bd05f7f43d">
      <Terms xmlns="http://schemas.microsoft.com/office/infopath/2007/PartnerControls"/>
    </aa1c885e8039426686f6c49672b09953>
    <e09eddfac2354f9ab04a226e27f86f1f xmlns="a46656d4-8850-49b3-aebd-68bd05f7f43d">
      <Terms xmlns="http://schemas.microsoft.com/office/infopath/2007/PartnerControls"/>
    </e09eddfac2354f9ab04a226e27f86f1f>
    <PublishingExpirationDate xmlns="http://schemas.microsoft.com/sharepoint/v3" xsi:nil="true"/>
    <PublishingStartDate xmlns="http://schemas.microsoft.com/sharepoint/v3" xsi:nil="true"/>
    <l34dc5595392493c8311535275827f74 xmlns="a46656d4-8850-49b3-aebd-68bd05f7f43d">
      <Terms xmlns="http://schemas.microsoft.com/office/infopath/2007/PartnerControls"/>
    </l34dc5595392493c8311535275827f74>
    <ia53b9f18d984e01914f4b79710425b7 xmlns="a46656d4-8850-49b3-aebd-68bd05f7f43d">
      <Terms xmlns="http://schemas.microsoft.com/office/infopath/2007/PartnerControls"/>
    </ia53b9f18d984e01914f4b79710425b7>
    <b76e59bb9f5947a781773f53cc6e9460 xmlns="a46656d4-8850-49b3-aebd-68bd05f7f43d">
      <Terms xmlns="http://schemas.microsoft.com/office/infopath/2007/PartnerControls"/>
    </b76e59bb9f5947a781773f53cc6e9460>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FDA8B39079CB64BAC559E1752826592" ma:contentTypeVersion="4" ma:contentTypeDescription="צור מסמך חדש." ma:contentTypeScope="" ma:versionID="d2edae9c92d8ed221743463958d18477">
  <xsd:schema xmlns:xsd="http://www.w3.org/2001/XMLSchema" xmlns:xs="http://www.w3.org/2001/XMLSchema" xmlns:p="http://schemas.microsoft.com/office/2006/metadata/properties" xmlns:ns1="http://schemas.microsoft.com/sharepoint/v3" xmlns:ns2="a46656d4-8850-49b3-aebd-68bd05f7f43d" targetNamespace="http://schemas.microsoft.com/office/2006/metadata/properties" ma:root="true" ma:fieldsID="c8c4a6d9e1b53034dcd265bb0fa870c1" ns1:_="" ns2:_="">
    <xsd:import namespace="http://schemas.microsoft.com/sharepoint/v3"/>
    <xsd:import namespace="a46656d4-8850-49b3-aebd-68bd05f7f43d"/>
    <xsd:element name="properties">
      <xsd:complexType>
        <xsd:sequence>
          <xsd:element name="documentManagement">
            <xsd:complexType>
              <xsd:all>
                <xsd:element ref="ns2:ia53b9f18d984e01914f4b79710425b7" minOccurs="0"/>
                <xsd:element ref="ns2:TaxCatchAll" minOccurs="0"/>
                <xsd:element ref="ns2:TaxCatchAllLabel" minOccurs="0"/>
                <xsd:element ref="ns2:e4b5484c9c824b148c38bfcb2bd74c0d" minOccurs="0"/>
                <xsd:element ref="ns2:kb4cc1381c4248d7a2dfa3f1be0c86c0" minOccurs="0"/>
                <xsd:element ref="ns2:o80fb9e8b9d445b0bb174fdcd68ee89c" minOccurs="0"/>
                <xsd:element ref="ns2:l34dc5595392493c8311535275827f74" minOccurs="0"/>
                <xsd:element ref="ns2:j92457fac7d145f98e698f5712f6a6a4" minOccurs="0"/>
                <xsd:element ref="ns2:o68cd33f8d3a45abb273b6e406faee3d" minOccurs="0"/>
                <xsd:element ref="ns2:b76e59bb9f5947a781773f53cc6e9460" minOccurs="0"/>
                <xsd:element ref="ns2:e09eddfac2354f9ab04a226e27f86f1f" minOccurs="0"/>
                <xsd:element ref="ns2:aa1c885e8039426686f6c49672b09953" minOccurs="0"/>
                <xsd:element ref="ns2:n612d9597dc7466f957352ce79be86f3"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33"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ia53b9f18d984e01914f4b79710425b7" ma:index="8" nillable="true" ma:taxonomy="true" ma:internalName="ia53b9f18d984e01914f4b79710425b7" ma:taxonomyFieldName="MMDAudience" ma:displayName="MMDAudience" ma:default="" ma:fieldId="{2a53b9f1-8d98-4e01-914f-4b79710425b7}" ma:taxonomyMulti="true" ma:sspId="d827811f-dea7-4a29-b54a-c9228db73c39" ma:termSetId="81e45943-23c2-4109-8875-059bec4079da" ma:anchorId="34070f2b-4092-41f2-8b6e-c220ee347e21" ma:open="false" ma:isKeyword="false">
      <xsd:complexType>
        <xsd:sequence>
          <xsd:element ref="pc:Terms" minOccurs="0" maxOccurs="1"/>
        </xsd:sequence>
      </xsd:complexType>
    </xsd:element>
    <xsd:element name="TaxCatchAll" ma:index="9" nillable="true" ma:displayName="עמודת 'תפוס הכל' של טקסונומיה" ma:description=""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עמודת 'תפוס הכל' של טקסונומיה1" ma:description="" ma:hidden="true" ma:list="{e12108e9-b676-4047-af95-0a4967b3603a}" ma:internalName="TaxCatchAllLabel" ma:readOnly="true" ma:showField="CatchAllDataLabel"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e4b5484c9c824b148c38bfcb2bd74c0d" ma:index="12" nillable="true" ma:taxonomy="true" ma:internalName="e4b5484c9c824b148c38bfcb2bd74c0d" ma:taxonomyFieldName="MMDJobDescription" ma:displayName="MMDJobDescription" ma:default="" ma:fieldId="{e4b5484c-9c82-4b14-8c38-bfcb2bd74c0d}" ma:sspId="d827811f-dea7-4a29-b54a-c9228db73c39" ma:termSetId="81e45943-23c2-4109-8875-059bec4079da" ma:anchorId="1a909479-0b01-4d8f-8fb7-cbbc1687e8f1" ma:open="false" ma:isKeyword="false">
      <xsd:complexType>
        <xsd:sequence>
          <xsd:element ref="pc:Terms" minOccurs="0" maxOccurs="1"/>
        </xsd:sequence>
      </xsd:complexType>
    </xsd:element>
    <xsd:element name="kb4cc1381c4248d7a2dfa3f1be0c86c0" ma:index="14" nillable="true" ma:taxonomy="true" ma:internalName="kb4cc1381c4248d7a2dfa3f1be0c86c0" ma:taxonomyFieldName="MMDKeywords" ma:displayName="MMDKeywords" ma:default="" ma:fieldId="{4b4cc138-1c42-48d7-a2df-a3f1be0c86c0}" ma:taxonomyMulti="true" ma:sspId="d827811f-dea7-4a29-b54a-c9228db73c39" ma:termSetId="81e45943-23c2-4109-8875-059bec4079da" ma:anchorId="15d331fa-6baa-448e-8759-7c342d8402ea" ma:open="false" ma:isKeyword="false">
      <xsd:complexType>
        <xsd:sequence>
          <xsd:element ref="pc:Terms" minOccurs="0" maxOccurs="1"/>
        </xsd:sequence>
      </xsd:complexType>
    </xsd:element>
    <xsd:element name="o80fb9e8b9d445b0bb174fdcd68ee89c" ma:index="16" nillable="true" ma:taxonomy="true" ma:internalName="o80fb9e8b9d445b0bb174fdcd68ee89c" ma:taxonomyFieldName="MMDLiveEvent" ma:displayName="MMDLiveEvent" ma:default="" ma:fieldId="{880fb9e8-b9d4-45b0-bb17-4fdcd68ee89c}" ma:sspId="d827811f-dea7-4a29-b54a-c9228db73c39" ma:termSetId="81e45943-23c2-4109-8875-059bec4079da" ma:anchorId="5e8b8ad0-eeb0-4bda-9bef-7517a1f3340f" ma:open="false" ma:isKeyword="false">
      <xsd:complexType>
        <xsd:sequence>
          <xsd:element ref="pc:Terms" minOccurs="0" maxOccurs="1"/>
        </xsd:sequence>
      </xsd:complexType>
    </xsd:element>
    <xsd:element name="l34dc5595392493c8311535275827f74" ma:index="18" nillable="true" ma:taxonomy="true" ma:internalName="l34dc5595392493c8311535275827f74" ma:taxonomyFieldName="MMDResponsibleOffice" ma:displayName="MMDResponsibleOffice" ma:default="" ma:fieldId="{534dc559-5392-493c-8311-535275827f74}" ma:sspId="d827811f-dea7-4a29-b54a-c9228db73c39" ma:termSetId="81e45943-23c2-4109-8875-059bec4079da" ma:anchorId="23eeccfc-9988-4d51-b789-d1a77ea8348c" ma:open="false" ma:isKeyword="false">
      <xsd:complexType>
        <xsd:sequence>
          <xsd:element ref="pc:Terms" minOccurs="0" maxOccurs="1"/>
        </xsd:sequence>
      </xsd:complexType>
    </xsd:element>
    <xsd:element name="j92457fac7d145f98e698f5712f6a6a4" ma:index="20" nillable="true" ma:taxonomy="true" ma:internalName="j92457fac7d145f98e698f5712f6a6a4" ma:taxonomyFieldName="MMDResponsibleUnit" ma:displayName="MMDResponsibleUnit" ma:default="" ma:fieldId="{392457fa-c7d1-45f9-8e69-8f5712f6a6a4}" ma:sspId="d827811f-dea7-4a29-b54a-c9228db73c39" ma:termSetId="81e45943-23c2-4109-8875-059bec4079da" ma:anchorId="3bdf475d-e38d-4b34-8299-73c2066d8322" ma:open="false" ma:isKeyword="false">
      <xsd:complexType>
        <xsd:sequence>
          <xsd:element ref="pc:Terms" minOccurs="0" maxOccurs="1"/>
        </xsd:sequence>
      </xsd:complexType>
    </xsd:element>
    <xsd:element name="o68cd33f8d3a45abb273b6e406faee3d" ma:index="22" nillable="true" ma:taxonomy="true" ma:internalName="o68cd33f8d3a45abb273b6e406faee3d" ma:taxonomyFieldName="MMDServiceLang" ma:displayName="MMDServiceLang" ma:default="" ma:fieldId="{868cd33f-8d3a-45ab-b273-b6e406faee3d}" ma:sspId="d827811f-dea7-4a29-b54a-c9228db73c39" ma:termSetId="81e45943-23c2-4109-8875-059bec4079da" ma:anchorId="f399919e-8697-409a-aaea-d4e5d2844d8b" ma:open="false" ma:isKeyword="false">
      <xsd:complexType>
        <xsd:sequence>
          <xsd:element ref="pc:Terms" minOccurs="0" maxOccurs="1"/>
        </xsd:sequence>
      </xsd:complexType>
    </xsd:element>
    <xsd:element name="b76e59bb9f5947a781773f53cc6e9460" ma:index="24" nillable="true" ma:taxonomy="true" ma:internalName="b76e59bb9f5947a781773f53cc6e9460" ma:taxonomyFieldName="MMDStatus" ma:displayName="MMDStatus" ma:default="" ma:fieldId="{b76e59bb-9f59-47a7-8177-3f53cc6e9460}" ma:sspId="d827811f-dea7-4a29-b54a-c9228db73c39" ma:termSetId="81e45943-23c2-4109-8875-059bec4079da" ma:anchorId="16fb90fa-07e3-45cb-b262-12779a7ad9f7" ma:open="false" ma:isKeyword="false">
      <xsd:complexType>
        <xsd:sequence>
          <xsd:element ref="pc:Terms" minOccurs="0" maxOccurs="1"/>
        </xsd:sequence>
      </xsd:complexType>
    </xsd:element>
    <xsd:element name="e09eddfac2354f9ab04a226e27f86f1f" ma:index="26" nillable="true" ma:taxonomy="true" ma:internalName="e09eddfac2354f9ab04a226e27f86f1f" ma:taxonomyFieldName="MMDSubjects" ma:displayName="MMD נושאים" ma:default="" ma:fieldId="{e09eddfa-c235-4f9a-b04a-226e27f86f1f}" ma:taxonomyMulti="true" ma:sspId="d827811f-dea7-4a29-b54a-c9228db73c39" ma:termSetId="81e45943-23c2-4109-8875-059bec4079da" ma:anchorId="fe51dda7-6a1b-4b64-af2c-7200e1ef7e7a" ma:open="false" ma:isKeyword="false">
      <xsd:complexType>
        <xsd:sequence>
          <xsd:element ref="pc:Terms" minOccurs="0" maxOccurs="1"/>
        </xsd:sequence>
      </xsd:complexType>
    </xsd:element>
    <xsd:element name="aa1c885e8039426686f6c49672b09953" ma:index="28" nillable="true" ma:taxonomy="true" ma:internalName="aa1c885e8039426686f6c49672b09953" ma:taxonomyFieldName="MMDTypes" ma:displayName="MMDTypes" ma:default="" ma:fieldId="{aa1c885e-8039-4266-86f6-c49672b09953}" ma:sspId="d827811f-dea7-4a29-b54a-c9228db73c39" ma:termSetId="81e45943-23c2-4109-8875-059bec4079da" ma:anchorId="226f2308-be0c-4e06-b36e-423ee4befb74" ma:open="false" ma:isKeyword="false">
      <xsd:complexType>
        <xsd:sequence>
          <xsd:element ref="pc:Terms" minOccurs="0" maxOccurs="1"/>
        </xsd:sequence>
      </xsd:complexType>
    </xsd:element>
    <xsd:element name="n612d9597dc7466f957352ce79be86f3" ma:index="30" nillable="true" ma:taxonomy="true" ma:internalName="n612d9597dc7466f957352ce79be86f3" ma:taxonomyFieldName="MMDUnitsName" ma:displayName="MMDUnitsName" ma:default="" ma:fieldId="{7612d959-7dc7-466f-9573-52ce79be86f3}" ma:sspId="d827811f-dea7-4a29-b54a-c9228db73c39" ma:termSetId="81e45943-23c2-4109-8875-059bec4079da" ma:anchorId="625c2686-859d-4ced-94f0-7dded8208e4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A579E-3C39-4DFB-8FAD-FDBA2689B96B}">
  <ds:schemaRefs>
    <ds:schemaRef ds:uri="http://schemas.microsoft.com/office/2006/metadata/properties"/>
    <ds:schemaRef ds:uri="http://schemas.microsoft.com/office/infopath/2007/PartnerControls"/>
    <ds:schemaRef ds:uri="a46656d4-8850-49b3-aebd-68bd05f7f43d"/>
    <ds:schemaRef ds:uri="http://schemas.microsoft.com/sharepoint/v3"/>
  </ds:schemaRefs>
</ds:datastoreItem>
</file>

<file path=customXml/itemProps2.xml><?xml version="1.0" encoding="utf-8"?>
<ds:datastoreItem xmlns:ds="http://schemas.openxmlformats.org/officeDocument/2006/customXml" ds:itemID="{25C80480-363B-47AB-AC93-4823D6DC5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6656d4-8850-49b3-aebd-68bd05f7f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1388F-357C-4D36-90C0-F5AD868629C5}">
  <ds:schemaRefs>
    <ds:schemaRef ds:uri="http://schemas.microsoft.com/sharepoint/v3/contenttype/forms"/>
  </ds:schemaRefs>
</ds:datastoreItem>
</file>

<file path=customXml/itemProps4.xml><?xml version="1.0" encoding="utf-8"?>
<ds:datastoreItem xmlns:ds="http://schemas.openxmlformats.org/officeDocument/2006/customXml" ds:itemID="{C5F11FEC-E9F4-4DC2-BE32-FC55E190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4504</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תיקון החוזר המאוחד - מעילות והונאות מצד גורמים בתוך הארגון וגורמים מחוץ לארגון – טיוטה</vt:lpstr>
    </vt:vector>
  </TitlesOfParts>
  <Company>MOF</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תיקון החוזר המאוחד - מעילות והונאות מצד גורמים בתוך הארגון וגורמים מחוץ לארגון – טיוטה</dc:title>
  <dc:creator>זאב תמיר</dc:creator>
  <cp:lastModifiedBy>Barak Chiprut</cp:lastModifiedBy>
  <cp:revision>2</cp:revision>
  <cp:lastPrinted>2018-02-28T13:00:00Z</cp:lastPrinted>
  <dcterms:created xsi:type="dcterms:W3CDTF">2018-03-07T09:38:00Z</dcterms:created>
  <dcterms:modified xsi:type="dcterms:W3CDTF">2018-03-07T09:38:00Z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notes://MAOR2/Doc/Shuk_hon/ShHozDoc.nsf/0/6A53FCB8E58DD869C225823C003B5035/?OpenDocument</vt:lpwstr>
  </property>
  <property fmtid="{D5CDD505-2E9C-101B-9397-08002B2CF9AE}" pid="3" name="MaorRecipients0">
    <vt:lpwstr/>
  </property>
  <property fmtid="{D5CDD505-2E9C-101B-9397-08002B2CF9AE}" pid="4" name="ContentTypeId">
    <vt:lpwstr>0x0101006FDA8B39079CB64BAC559E1752826592</vt:lpwstr>
  </property>
  <property fmtid="{D5CDD505-2E9C-101B-9397-08002B2CF9AE}" pid="5" name="MMDUnitsName">
    <vt:lpwstr/>
  </property>
  <property fmtid="{D5CDD505-2E9C-101B-9397-08002B2CF9AE}" pid="6" name="MMDResponsibleUnit">
    <vt:lpwstr/>
  </property>
  <property fmtid="{D5CDD505-2E9C-101B-9397-08002B2CF9AE}" pid="7" name="MMDServiceLang">
    <vt:lpwstr/>
  </property>
  <property fmtid="{D5CDD505-2E9C-101B-9397-08002B2CF9AE}" pid="8" name="MMDJobDescription">
    <vt:lpwstr/>
  </property>
  <property fmtid="{D5CDD505-2E9C-101B-9397-08002B2CF9AE}" pid="9" name="MMDKeywords">
    <vt:lpwstr/>
  </property>
  <property fmtid="{D5CDD505-2E9C-101B-9397-08002B2CF9AE}" pid="10" name="MMDStatus">
    <vt:lpwstr/>
  </property>
  <property fmtid="{D5CDD505-2E9C-101B-9397-08002B2CF9AE}" pid="11" name="MMDAudience">
    <vt:lpwstr/>
  </property>
  <property fmtid="{D5CDD505-2E9C-101B-9397-08002B2CF9AE}" pid="12" name="MMDLiveEvent">
    <vt:lpwstr/>
  </property>
  <property fmtid="{D5CDD505-2E9C-101B-9397-08002B2CF9AE}" pid="13" name="MMDSubjects">
    <vt:lpwstr/>
  </property>
  <property fmtid="{D5CDD505-2E9C-101B-9397-08002B2CF9AE}" pid="14" name="MMDTypes">
    <vt:lpwstr/>
  </property>
  <property fmtid="{D5CDD505-2E9C-101B-9397-08002B2CF9AE}" pid="15" name="MMDResponsibleOffice">
    <vt:lpwstr/>
  </property>
</Properties>
</file>