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6" w:rsidRDefault="00FB1F36">
      <w:pPr>
        <w:jc w:val="both"/>
        <w:rPr>
          <w:rFonts w:hint="cs"/>
          <w:sz w:val="20"/>
          <w:szCs w:val="28"/>
        </w:rPr>
      </w:pPr>
    </w:p>
    <w:p w:rsidR="00FB1F36" w:rsidRDefault="00FB1F36">
      <w:pPr>
        <w:jc w:val="both"/>
        <w:rPr>
          <w:sz w:val="20"/>
          <w:szCs w:val="28"/>
          <w:rtl/>
        </w:rPr>
      </w:pPr>
    </w:p>
    <w:p w:rsidR="00FB1F36" w:rsidRDefault="00FB1F36">
      <w:pPr>
        <w:jc w:val="both"/>
        <w:rPr>
          <w:rFonts w:hint="cs"/>
          <w:sz w:val="20"/>
          <w:szCs w:val="28"/>
          <w:rtl/>
        </w:rPr>
      </w:pPr>
    </w:p>
    <w:p w:rsidR="00FB1F36" w:rsidRDefault="00FB1F36">
      <w:pPr>
        <w:jc w:val="both"/>
        <w:rPr>
          <w:sz w:val="20"/>
          <w:szCs w:val="28"/>
          <w:rtl/>
        </w:rPr>
      </w:pPr>
    </w:p>
    <w:p w:rsidR="00FB1F36" w:rsidRDefault="005263DC" w:rsidP="005263DC">
      <w:pPr>
        <w:jc w:val="right"/>
        <w:rPr>
          <w:rtl/>
        </w:rPr>
      </w:pPr>
      <w:r>
        <w:rPr>
          <w:rFonts w:hint="cs"/>
          <w:rtl/>
        </w:rPr>
        <w:t>ינואר 2015</w:t>
      </w:r>
      <w:r w:rsidR="00FB1F36">
        <w:rPr>
          <w:rtl/>
        </w:rPr>
        <w:t xml:space="preserve"> </w:t>
      </w:r>
    </w:p>
    <w:p w:rsidR="00FB1F36" w:rsidRDefault="00FB1F36">
      <w:pPr>
        <w:pStyle w:val="1"/>
        <w:rPr>
          <w:rFonts w:cs="Times New Roman"/>
          <w:szCs w:val="32"/>
          <w:rtl/>
        </w:rPr>
      </w:pPr>
    </w:p>
    <w:p w:rsidR="00FB1F36" w:rsidRDefault="00FB1F36">
      <w:pPr>
        <w:pStyle w:val="3"/>
        <w:rPr>
          <w:rFonts w:cs="David"/>
          <w:szCs w:val="36"/>
          <w:rtl/>
        </w:rPr>
      </w:pPr>
      <w:r>
        <w:rPr>
          <w:rFonts w:cs="David" w:hint="eastAsia"/>
          <w:szCs w:val="36"/>
          <w:rtl/>
        </w:rPr>
        <w:t>הקרן</w:t>
      </w:r>
      <w:r>
        <w:rPr>
          <w:rFonts w:cs="David"/>
          <w:szCs w:val="36"/>
          <w:rtl/>
        </w:rPr>
        <w:t xml:space="preserve"> על שם חנה גולדמן</w:t>
      </w:r>
    </w:p>
    <w:p w:rsidR="00FB1F36" w:rsidRDefault="00FB1F36">
      <w:pPr>
        <w:jc w:val="center"/>
        <w:rPr>
          <w:rFonts w:cs="David"/>
          <w:b/>
          <w:bCs/>
          <w:sz w:val="20"/>
          <w:szCs w:val="28"/>
          <w:rtl/>
        </w:rPr>
      </w:pPr>
      <w:r>
        <w:rPr>
          <w:rFonts w:cs="David" w:hint="eastAsia"/>
          <w:b/>
          <w:bCs/>
          <w:szCs w:val="28"/>
          <w:rtl/>
        </w:rPr>
        <w:t>לסיוע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eastAsia"/>
          <w:b/>
          <w:bCs/>
          <w:szCs w:val="28"/>
          <w:rtl/>
        </w:rPr>
        <w:t>בשירותים</w:t>
      </w:r>
      <w:r>
        <w:rPr>
          <w:rFonts w:cs="David"/>
          <w:b/>
          <w:bCs/>
          <w:szCs w:val="28"/>
          <w:rtl/>
        </w:rPr>
        <w:t xml:space="preserve"> קהילתיים לפסיכולוגיה קלינית</w:t>
      </w:r>
    </w:p>
    <w:p w:rsidR="00FB1F36" w:rsidRDefault="00FB1F36">
      <w:pPr>
        <w:jc w:val="center"/>
        <w:rPr>
          <w:rFonts w:cs="David"/>
          <w:b/>
          <w:bCs/>
          <w:sz w:val="20"/>
          <w:szCs w:val="28"/>
          <w:rtl/>
        </w:rPr>
      </w:pPr>
      <w:r>
        <w:rPr>
          <w:rFonts w:cs="David" w:hint="eastAsia"/>
          <w:b/>
          <w:bCs/>
          <w:szCs w:val="28"/>
          <w:rtl/>
        </w:rPr>
        <w:t>של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eastAsia"/>
          <w:b/>
          <w:bCs/>
          <w:szCs w:val="28"/>
          <w:rtl/>
        </w:rPr>
        <w:t>הילד</w:t>
      </w:r>
      <w:r>
        <w:rPr>
          <w:rFonts w:cs="David"/>
          <w:b/>
          <w:bCs/>
          <w:szCs w:val="28"/>
          <w:rtl/>
        </w:rPr>
        <w:t xml:space="preserve"> והנוער בישראל</w:t>
      </w:r>
    </w:p>
    <w:p w:rsidR="00FB1F36" w:rsidRDefault="00FB1F36">
      <w:pPr>
        <w:spacing w:line="360" w:lineRule="auto"/>
        <w:jc w:val="both"/>
        <w:rPr>
          <w:b/>
          <w:bCs/>
          <w:sz w:val="20"/>
          <w:szCs w:val="28"/>
          <w:rtl/>
        </w:rPr>
      </w:pPr>
    </w:p>
    <w:p w:rsidR="00FB1F36" w:rsidRDefault="00FB1F36">
      <w:pPr>
        <w:pStyle w:val="2"/>
        <w:spacing w:line="360" w:lineRule="auto"/>
        <w:jc w:val="both"/>
        <w:rPr>
          <w:rFonts w:cs="Times New Roman"/>
          <w:szCs w:val="24"/>
          <w:rtl/>
        </w:rPr>
      </w:pPr>
      <w:r>
        <w:rPr>
          <w:rFonts w:cs="Times New Roman" w:hint="eastAsia"/>
          <w:szCs w:val="24"/>
          <w:rtl/>
        </w:rPr>
        <w:t>חברי</w:t>
      </w:r>
      <w:r>
        <w:rPr>
          <w:rFonts w:cs="Times New Roman"/>
          <w:szCs w:val="24"/>
          <w:rtl/>
        </w:rPr>
        <w:t xml:space="preserve"> </w:t>
      </w:r>
      <w:r>
        <w:rPr>
          <w:rFonts w:cs="Times New Roman" w:hint="eastAsia"/>
          <w:szCs w:val="24"/>
          <w:rtl/>
        </w:rPr>
        <w:t>ועדת</w:t>
      </w:r>
      <w:r>
        <w:rPr>
          <w:rFonts w:cs="Times New Roman"/>
          <w:szCs w:val="24"/>
          <w:rtl/>
        </w:rPr>
        <w:t xml:space="preserve"> הקרן על שם חנה גולדמן מזמינים בזאת יחידים ו/או צוותים הפועלים במסגרת של </w:t>
      </w:r>
      <w:r>
        <w:rPr>
          <w:rFonts w:cs="Times New Roman" w:hint="eastAsia"/>
          <w:szCs w:val="24"/>
          <w:rtl/>
        </w:rPr>
        <w:t>שירות</w:t>
      </w:r>
      <w:r>
        <w:rPr>
          <w:rFonts w:cs="Times New Roman"/>
          <w:szCs w:val="24"/>
          <w:rtl/>
        </w:rPr>
        <w:t xml:space="preserve"> קהילתי לפסיכולוגיה קלינית של הילד והנוער, להגיש פניות לקבלת מענק מכספי הקרן.</w:t>
      </w:r>
    </w:p>
    <w:p w:rsidR="00FB1F36" w:rsidRDefault="00FB1F36" w:rsidP="00941C8F">
      <w:pPr>
        <w:pStyle w:val="2"/>
        <w:spacing w:line="360" w:lineRule="auto"/>
        <w:jc w:val="both"/>
        <w:rPr>
          <w:rFonts w:cs="Times New Roman"/>
          <w:szCs w:val="24"/>
          <w:rtl/>
        </w:rPr>
      </w:pPr>
      <w:r>
        <w:rPr>
          <w:rFonts w:cs="Times New Roman" w:hint="eastAsia"/>
          <w:szCs w:val="24"/>
          <w:rtl/>
        </w:rPr>
        <w:t>מטרת</w:t>
      </w:r>
      <w:r>
        <w:rPr>
          <w:rFonts w:cs="Times New Roman"/>
          <w:szCs w:val="24"/>
          <w:rtl/>
        </w:rPr>
        <w:t xml:space="preserve"> </w:t>
      </w:r>
      <w:r>
        <w:rPr>
          <w:rFonts w:cs="Times New Roman" w:hint="eastAsia"/>
          <w:szCs w:val="24"/>
          <w:rtl/>
        </w:rPr>
        <w:t>הקרן</w:t>
      </w:r>
      <w:r>
        <w:rPr>
          <w:rFonts w:cs="Times New Roman"/>
          <w:szCs w:val="24"/>
          <w:rtl/>
        </w:rPr>
        <w:t xml:space="preserve"> היא לסייע, לעודד ולתמוך בפרויקטים ו/או פעילויות בתחום הפסיכולוגיה </w:t>
      </w:r>
      <w:r>
        <w:rPr>
          <w:rFonts w:cs="Times New Roman" w:hint="eastAsia"/>
          <w:szCs w:val="24"/>
          <w:rtl/>
        </w:rPr>
        <w:t>הקלינית</w:t>
      </w:r>
      <w:r>
        <w:rPr>
          <w:rFonts w:cs="Times New Roman"/>
          <w:szCs w:val="24"/>
          <w:rtl/>
        </w:rPr>
        <w:t xml:space="preserve"> בתחנות ובמרפאות לילדים ולנוער (לא במסגרת אשפוזית), וזאת על ידי השתתפות </w:t>
      </w:r>
      <w:r>
        <w:rPr>
          <w:rFonts w:cs="Times New Roman" w:hint="eastAsia"/>
          <w:szCs w:val="24"/>
          <w:rtl/>
        </w:rPr>
        <w:t>בחלק</w:t>
      </w:r>
      <w:r>
        <w:rPr>
          <w:rFonts w:cs="Times New Roman"/>
          <w:szCs w:val="24"/>
          <w:rtl/>
        </w:rPr>
        <w:t xml:space="preserve"> מהמימון של פעילויות ו/או רכישת ציוד וחומרים במסגרות אלו.</w:t>
      </w:r>
    </w:p>
    <w:p w:rsidR="00FB1F36" w:rsidRDefault="00FB1F36">
      <w:pPr>
        <w:spacing w:line="360" w:lineRule="auto"/>
        <w:jc w:val="both"/>
        <w:rPr>
          <w:sz w:val="20"/>
          <w:rtl/>
        </w:rPr>
      </w:pPr>
      <w:r>
        <w:rPr>
          <w:rFonts w:hint="eastAsia"/>
          <w:rtl/>
        </w:rPr>
        <w:t>כספי</w:t>
      </w:r>
      <w:r>
        <w:rPr>
          <w:rtl/>
        </w:rPr>
        <w:t xml:space="preserve"> הקרן לא יינתנו לצורך תשלום משכורות.</w:t>
      </w:r>
    </w:p>
    <w:p w:rsidR="00FB1F36" w:rsidRDefault="00FB1F36">
      <w:pPr>
        <w:spacing w:line="360" w:lineRule="auto"/>
        <w:jc w:val="both"/>
        <w:rPr>
          <w:b/>
          <w:bCs/>
          <w:sz w:val="20"/>
          <w:rtl/>
        </w:rPr>
      </w:pPr>
    </w:p>
    <w:p w:rsidR="00FB1F36" w:rsidRDefault="00FB1F36" w:rsidP="00941C8F">
      <w:pPr>
        <w:pStyle w:val="2"/>
        <w:spacing w:line="360" w:lineRule="auto"/>
        <w:jc w:val="both"/>
        <w:rPr>
          <w:rFonts w:cs="Times New Roman"/>
          <w:szCs w:val="24"/>
          <w:rtl/>
        </w:rPr>
      </w:pPr>
      <w:r>
        <w:rPr>
          <w:rFonts w:cs="Times New Roman" w:hint="eastAsia"/>
          <w:szCs w:val="24"/>
          <w:rtl/>
        </w:rPr>
        <w:t>הקרן</w:t>
      </w:r>
      <w:r>
        <w:rPr>
          <w:rFonts w:cs="Times New Roman"/>
          <w:szCs w:val="24"/>
          <w:rtl/>
        </w:rPr>
        <w:t xml:space="preserve"> </w:t>
      </w:r>
      <w:r>
        <w:rPr>
          <w:rFonts w:cs="Times New Roman" w:hint="eastAsia"/>
          <w:szCs w:val="24"/>
          <w:rtl/>
        </w:rPr>
        <w:t>תעניק</w:t>
      </w:r>
      <w:r>
        <w:rPr>
          <w:rFonts w:cs="Times New Roman"/>
          <w:szCs w:val="24"/>
          <w:rtl/>
        </w:rPr>
        <w:t xml:space="preserve"> בשנת </w:t>
      </w:r>
      <w:r w:rsidR="00941C8F">
        <w:rPr>
          <w:rFonts w:cs="Times New Roman" w:hint="cs"/>
          <w:szCs w:val="24"/>
          <w:rtl/>
        </w:rPr>
        <w:t>תשע"ה</w:t>
      </w:r>
      <w:r>
        <w:rPr>
          <w:rFonts w:cs="Times New Roman"/>
          <w:szCs w:val="24"/>
          <w:rtl/>
        </w:rPr>
        <w:t xml:space="preserve"> מענק לאחד עד שלושה פרויקטים.</w:t>
      </w:r>
    </w:p>
    <w:p w:rsidR="00FB1F36" w:rsidRDefault="00FB1F36" w:rsidP="00941C8F">
      <w:pPr>
        <w:spacing w:line="360" w:lineRule="auto"/>
        <w:jc w:val="both"/>
        <w:rPr>
          <w:rtl/>
        </w:rPr>
      </w:pPr>
      <w:r>
        <w:rPr>
          <w:rFonts w:hint="eastAsia"/>
          <w:rtl/>
        </w:rPr>
        <w:t>את</w:t>
      </w:r>
      <w:r>
        <w:rPr>
          <w:rtl/>
        </w:rPr>
        <w:t xml:space="preserve"> ההצעות יש לשלוח למשרדי הפ"</w:t>
      </w:r>
      <w:r>
        <w:rPr>
          <w:rFonts w:hint="eastAsia"/>
          <w:rtl/>
        </w:rPr>
        <w:t>י</w:t>
      </w:r>
      <w:r>
        <w:rPr>
          <w:rtl/>
        </w:rPr>
        <w:t xml:space="preserve"> עד סוף חודש </w:t>
      </w:r>
      <w:r w:rsidR="00941C8F">
        <w:rPr>
          <w:rFonts w:hint="cs"/>
          <w:rtl/>
        </w:rPr>
        <w:t>מרץ 2015</w:t>
      </w:r>
    </w:p>
    <w:p w:rsidR="00FB1F36" w:rsidRDefault="00FB1F36">
      <w:pPr>
        <w:spacing w:line="360" w:lineRule="auto"/>
        <w:jc w:val="both"/>
        <w:rPr>
          <w:sz w:val="20"/>
          <w:rtl/>
        </w:rPr>
      </w:pPr>
      <w:r>
        <w:rPr>
          <w:rFonts w:hint="eastAsia"/>
          <w:u w:val="single"/>
          <w:rtl/>
        </w:rPr>
        <w:t>בהצעה</w:t>
      </w:r>
      <w:r>
        <w:rPr>
          <w:u w:val="single"/>
          <w:rtl/>
        </w:rPr>
        <w:t xml:space="preserve"> יש לכלול</w:t>
      </w:r>
      <w:r>
        <w:rPr>
          <w:rtl/>
        </w:rPr>
        <w:t>:</w:t>
      </w:r>
      <w:r>
        <w:rPr>
          <w:sz w:val="20"/>
          <w:rtl/>
        </w:rPr>
        <w:t xml:space="preserve"> </w:t>
      </w:r>
      <w:r>
        <w:rPr>
          <w:rFonts w:hint="eastAsia"/>
          <w:rtl/>
        </w:rPr>
        <w:t>תיאור</w:t>
      </w:r>
      <w:r>
        <w:rPr>
          <w:rtl/>
        </w:rPr>
        <w:t xml:space="preserve"> מפורט של הפרויקט, </w:t>
      </w:r>
      <w:r>
        <w:rPr>
          <w:rFonts w:hint="eastAsia"/>
          <w:rtl/>
        </w:rPr>
        <w:t>מהלך</w:t>
      </w:r>
      <w:r>
        <w:rPr>
          <w:rtl/>
        </w:rPr>
        <w:t xml:space="preserve"> (כולל לוח זמנים), הערכה תקציבית והצעות מחיר.</w:t>
      </w:r>
    </w:p>
    <w:p w:rsidR="00FB1F36" w:rsidRDefault="00FB1F36">
      <w:pPr>
        <w:spacing w:line="360" w:lineRule="auto"/>
        <w:jc w:val="both"/>
        <w:rPr>
          <w:sz w:val="20"/>
          <w:rtl/>
        </w:rPr>
      </w:pPr>
      <w:r>
        <w:rPr>
          <w:rFonts w:hint="eastAsia"/>
          <w:rtl/>
        </w:rPr>
        <w:t>הוועדה</w:t>
      </w:r>
      <w:r>
        <w:rPr>
          <w:rtl/>
        </w:rPr>
        <w:t xml:space="preserve"> תדון רק בהצעות של יחידים או של צוו</w:t>
      </w:r>
      <w:r>
        <w:rPr>
          <w:rFonts w:hint="eastAsia"/>
          <w:rtl/>
        </w:rPr>
        <w:t>תים</w:t>
      </w:r>
      <w:r>
        <w:rPr>
          <w:rtl/>
        </w:rPr>
        <w:t xml:space="preserve"> שהנם פסיכולוגים קליניים </w:t>
      </w:r>
      <w:r>
        <w:rPr>
          <w:rFonts w:hint="eastAsia"/>
          <w:u w:val="single"/>
          <w:rtl/>
        </w:rPr>
        <w:t>חברי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הפ</w:t>
      </w:r>
      <w:r>
        <w:rPr>
          <w:u w:val="single"/>
          <w:rtl/>
        </w:rPr>
        <w:t>"</w:t>
      </w:r>
      <w:r>
        <w:rPr>
          <w:rFonts w:hint="eastAsia"/>
          <w:u w:val="single"/>
          <w:rtl/>
        </w:rPr>
        <w:t>י</w:t>
      </w:r>
      <w:r>
        <w:rPr>
          <w:rtl/>
        </w:rPr>
        <w:t>.</w:t>
      </w:r>
    </w:p>
    <w:p w:rsidR="00FB1F36" w:rsidRDefault="00FB1F36" w:rsidP="00941C8F">
      <w:pPr>
        <w:spacing w:line="360" w:lineRule="auto"/>
        <w:jc w:val="both"/>
        <w:rPr>
          <w:rFonts w:hint="cs"/>
          <w:rtl/>
        </w:rPr>
      </w:pPr>
      <w:r>
        <w:rPr>
          <w:rFonts w:hint="eastAsia"/>
          <w:rtl/>
        </w:rPr>
        <w:t>ועדת</w:t>
      </w:r>
      <w:r>
        <w:rPr>
          <w:rtl/>
        </w:rPr>
        <w:t xml:space="preserve"> הקרן תדון בהצעות שיוגשו ותפרסם החלטותיה </w:t>
      </w:r>
      <w:r w:rsidR="00941C8F">
        <w:rPr>
          <w:rFonts w:hint="cs"/>
          <w:rtl/>
        </w:rPr>
        <w:t xml:space="preserve">עד </w:t>
      </w:r>
      <w:r>
        <w:rPr>
          <w:rFonts w:hint="cs"/>
          <w:rtl/>
        </w:rPr>
        <w:t>סוף</w:t>
      </w:r>
      <w:r>
        <w:rPr>
          <w:rtl/>
        </w:rPr>
        <w:t xml:space="preserve"> חודש </w:t>
      </w:r>
      <w:r w:rsidR="00941C8F">
        <w:rPr>
          <w:rFonts w:hint="cs"/>
          <w:rtl/>
        </w:rPr>
        <w:t>אפריל 2015</w:t>
      </w:r>
      <w:r>
        <w:rPr>
          <w:rtl/>
        </w:rPr>
        <w:t>.</w:t>
      </w:r>
    </w:p>
    <w:p w:rsidR="00FB1F36" w:rsidRDefault="00FB1F36">
      <w:pPr>
        <w:spacing w:line="360" w:lineRule="auto"/>
        <w:jc w:val="both"/>
        <w:rPr>
          <w:rFonts w:hint="cs"/>
          <w:sz w:val="20"/>
          <w:rtl/>
        </w:rPr>
      </w:pPr>
      <w:r>
        <w:rPr>
          <w:rFonts w:hint="cs"/>
          <w:rtl/>
        </w:rPr>
        <w:t>המענקים יחולקו באספה שנתית של הפ"י.</w:t>
      </w:r>
    </w:p>
    <w:p w:rsidR="00FB1F36" w:rsidRDefault="00FB1F36">
      <w:pPr>
        <w:spacing w:line="360" w:lineRule="auto"/>
        <w:jc w:val="both"/>
        <w:rPr>
          <w:b/>
          <w:bCs/>
          <w:sz w:val="20"/>
          <w:rtl/>
        </w:rPr>
      </w:pPr>
      <w:r>
        <w:rPr>
          <w:b/>
          <w:bCs/>
          <w:rtl/>
        </w:rPr>
        <w:t xml:space="preserve">                         </w:t>
      </w:r>
    </w:p>
    <w:p w:rsidR="00FB1F36" w:rsidRDefault="00FB1F36">
      <w:pPr>
        <w:spacing w:line="360" w:lineRule="auto"/>
        <w:jc w:val="both"/>
        <w:rPr>
          <w:sz w:val="20"/>
          <w:rtl/>
        </w:rPr>
      </w:pPr>
      <w:r>
        <w:rPr>
          <w:rtl/>
        </w:rPr>
        <w:t xml:space="preserve">                       </w:t>
      </w:r>
      <w:r>
        <w:rPr>
          <w:rFonts w:hint="eastAsia"/>
          <w:rtl/>
        </w:rPr>
        <w:t>כתובת</w:t>
      </w:r>
      <w:r>
        <w:rPr>
          <w:rtl/>
        </w:rPr>
        <w:t xml:space="preserve"> </w:t>
      </w:r>
      <w:r>
        <w:rPr>
          <w:rFonts w:hint="eastAsia"/>
          <w:rtl/>
        </w:rPr>
        <w:t>לפניות</w:t>
      </w:r>
      <w:r>
        <w:rPr>
          <w:rtl/>
        </w:rPr>
        <w:t>: הסתדרות הפסיכולוגים</w:t>
      </w:r>
    </w:p>
    <w:p w:rsidR="00FB1F36" w:rsidRDefault="00FB1F36">
      <w:pPr>
        <w:spacing w:line="360" w:lineRule="auto"/>
        <w:jc w:val="both"/>
        <w:rPr>
          <w:sz w:val="20"/>
          <w:rtl/>
        </w:rPr>
      </w:pPr>
      <w:r>
        <w:rPr>
          <w:rtl/>
        </w:rPr>
        <w:t xml:space="preserve">                                            </w:t>
      </w:r>
      <w:r>
        <w:rPr>
          <w:rFonts w:hint="eastAsia"/>
          <w:rtl/>
        </w:rPr>
        <w:t>הקרן</w:t>
      </w:r>
      <w:r>
        <w:rPr>
          <w:rtl/>
        </w:rPr>
        <w:t xml:space="preserve"> על שם חנה </w:t>
      </w:r>
      <w:r>
        <w:rPr>
          <w:rFonts w:hint="eastAsia"/>
          <w:rtl/>
        </w:rPr>
        <w:t>גולדמן</w:t>
      </w:r>
    </w:p>
    <w:p w:rsidR="00FB1F36" w:rsidRDefault="00FB1F36" w:rsidP="007C533D">
      <w:pPr>
        <w:spacing w:line="360" w:lineRule="auto"/>
        <w:jc w:val="both"/>
        <w:rPr>
          <w:b/>
          <w:bCs/>
          <w:rtl/>
        </w:rPr>
      </w:pPr>
      <w:r>
        <w:rPr>
          <w:rtl/>
        </w:rPr>
        <w:t xml:space="preserve">                                            </w:t>
      </w:r>
      <w:r>
        <w:rPr>
          <w:rFonts w:hint="eastAsia"/>
          <w:rtl/>
        </w:rPr>
        <w:t>ת</w:t>
      </w:r>
      <w:r>
        <w:rPr>
          <w:rtl/>
        </w:rPr>
        <w:t xml:space="preserve">.ד. </w:t>
      </w:r>
      <w:r w:rsidR="007C533D">
        <w:rPr>
          <w:rFonts w:hint="cs"/>
          <w:rtl/>
        </w:rPr>
        <w:t>3361</w:t>
      </w:r>
      <w:r>
        <w:rPr>
          <w:rtl/>
        </w:rPr>
        <w:t xml:space="preserve"> </w:t>
      </w:r>
      <w:r w:rsidR="007C533D">
        <w:rPr>
          <w:rFonts w:hint="cs"/>
          <w:rtl/>
        </w:rPr>
        <w:t>רמת גן, 5213601</w:t>
      </w:r>
      <w:r>
        <w:rPr>
          <w:rtl/>
        </w:rPr>
        <w:t xml:space="preserve"> </w:t>
      </w:r>
      <w:r>
        <w:rPr>
          <w:b/>
          <w:bCs/>
          <w:rtl/>
        </w:rPr>
        <w:t xml:space="preserve">                                      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:rsidR="00FB1F36" w:rsidRDefault="00FB1F36">
      <w:pPr>
        <w:spacing w:line="360" w:lineRule="auto"/>
        <w:ind w:left="2880"/>
        <w:rPr>
          <w:rtl/>
        </w:rPr>
      </w:pPr>
      <w:r>
        <w:rPr>
          <w:rtl/>
        </w:rPr>
        <w:t xml:space="preserve">          </w:t>
      </w:r>
      <w:r>
        <w:rPr>
          <w:rFonts w:hint="eastAsia"/>
          <w:rtl/>
        </w:rPr>
        <w:t>בברכה</w:t>
      </w:r>
      <w:r>
        <w:rPr>
          <w:rtl/>
        </w:rPr>
        <w:t>,</w:t>
      </w:r>
    </w:p>
    <w:p w:rsidR="00FB1F36" w:rsidRDefault="00FB1F36">
      <w:pPr>
        <w:pStyle w:val="4"/>
        <w:spacing w:line="480" w:lineRule="auto"/>
        <w:rPr>
          <w:rFonts w:cs="Times New Roman"/>
          <w:b w:val="0"/>
          <w:bCs w:val="0"/>
          <w:sz w:val="24"/>
          <w:szCs w:val="24"/>
          <w:rtl/>
        </w:rPr>
      </w:pPr>
      <w:r>
        <w:rPr>
          <w:rFonts w:cs="Times New Roman"/>
          <w:b w:val="0"/>
          <w:bCs w:val="0"/>
          <w:sz w:val="24"/>
          <w:szCs w:val="24"/>
          <w:rtl/>
        </w:rPr>
        <w:t xml:space="preserve">                                                          </w:t>
      </w:r>
      <w:r>
        <w:rPr>
          <w:rFonts w:cs="Times New Roman" w:hint="eastAsia"/>
          <w:b w:val="0"/>
          <w:bCs w:val="0"/>
          <w:sz w:val="24"/>
          <w:szCs w:val="24"/>
          <w:rtl/>
        </w:rPr>
        <w:t>חברי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ועדת </w:t>
      </w:r>
      <w:r>
        <w:rPr>
          <w:rFonts w:cs="Times New Roman" w:hint="eastAsia"/>
          <w:b w:val="0"/>
          <w:bCs w:val="0"/>
          <w:sz w:val="24"/>
          <w:szCs w:val="24"/>
          <w:rtl/>
        </w:rPr>
        <w:t>הקרן</w:t>
      </w:r>
    </w:p>
    <w:p w:rsidR="00FB1F36" w:rsidRDefault="007C533D" w:rsidP="00941C8F">
      <w:pPr>
        <w:pStyle w:val="4"/>
        <w:spacing w:line="480" w:lineRule="auto"/>
        <w:jc w:val="center"/>
        <w:rPr>
          <w:rFonts w:cs="Times New Roman"/>
          <w:b w:val="0"/>
          <w:bCs w:val="0"/>
          <w:rtl/>
        </w:rPr>
      </w:pPr>
      <w:r>
        <w:rPr>
          <w:rFonts w:cs="Times New Roman" w:hint="cs"/>
          <w:b w:val="0"/>
          <w:bCs w:val="0"/>
          <w:sz w:val="24"/>
          <w:szCs w:val="24"/>
          <w:rtl/>
        </w:rPr>
        <w:t>עמוס ספיבק</w:t>
      </w:r>
      <w:r w:rsidR="00FB1F36">
        <w:rPr>
          <w:rFonts w:cs="Times New Roman"/>
          <w:b w:val="0"/>
          <w:bCs w:val="0"/>
          <w:sz w:val="24"/>
          <w:szCs w:val="24"/>
          <w:rtl/>
        </w:rPr>
        <w:t xml:space="preserve"> – יו"</w:t>
      </w:r>
      <w:r w:rsidR="00FB1F36">
        <w:rPr>
          <w:rFonts w:cs="Times New Roman" w:hint="eastAsia"/>
          <w:b w:val="0"/>
          <w:bCs w:val="0"/>
          <w:sz w:val="24"/>
          <w:szCs w:val="24"/>
          <w:rtl/>
        </w:rPr>
        <w:t>ר</w:t>
      </w:r>
      <w:r>
        <w:rPr>
          <w:rFonts w:cs="Times New Roman"/>
          <w:b w:val="0"/>
          <w:bCs w:val="0"/>
          <w:sz w:val="24"/>
          <w:szCs w:val="24"/>
          <w:rtl/>
        </w:rPr>
        <w:tab/>
      </w:r>
      <w:r w:rsidR="00FB1F36">
        <w:rPr>
          <w:rFonts w:cs="Times New Roman" w:hint="eastAsia"/>
          <w:b w:val="0"/>
          <w:bCs w:val="0"/>
          <w:sz w:val="24"/>
          <w:szCs w:val="24"/>
          <w:rtl/>
        </w:rPr>
        <w:t>אביבה</w:t>
      </w:r>
      <w:r w:rsidR="00FB1F36">
        <w:rPr>
          <w:rFonts w:cs="Times New Roman"/>
          <w:b w:val="0"/>
          <w:bCs w:val="0"/>
          <w:sz w:val="24"/>
          <w:szCs w:val="24"/>
          <w:rtl/>
        </w:rPr>
        <w:t xml:space="preserve"> </w:t>
      </w:r>
      <w:r w:rsidR="00FB1F36">
        <w:rPr>
          <w:rFonts w:cs="Times New Roman" w:hint="eastAsia"/>
          <w:b w:val="0"/>
          <w:bCs w:val="0"/>
          <w:sz w:val="24"/>
          <w:szCs w:val="24"/>
          <w:rtl/>
        </w:rPr>
        <w:t>קפלנסקי</w:t>
      </w:r>
      <w:r>
        <w:rPr>
          <w:rFonts w:cs="Times New Roman" w:hint="cs"/>
          <w:b w:val="0"/>
          <w:bCs w:val="0"/>
          <w:sz w:val="24"/>
          <w:szCs w:val="24"/>
          <w:rtl/>
        </w:rPr>
        <w:t xml:space="preserve">                אירית רווה</w:t>
      </w:r>
    </w:p>
    <w:p w:rsidR="00FB1F36" w:rsidRDefault="00FB1F36">
      <w:pPr>
        <w:rPr>
          <w:rtl/>
        </w:rPr>
      </w:pPr>
    </w:p>
    <w:sectPr w:rsidR="00FB1F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D8"/>
    <w:rsid w:val="000F59D8"/>
    <w:rsid w:val="004A5CFF"/>
    <w:rsid w:val="005263DC"/>
    <w:rsid w:val="007C533D"/>
    <w:rsid w:val="00941C8F"/>
    <w:rsid w:val="00F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 w:cs="Tahoma"/>
      <w:b/>
      <w:bCs/>
      <w:sz w:val="20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 w:cs="Tahoma"/>
      <w:sz w:val="20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 w:cs="Tahoma"/>
      <w:b/>
      <w:bCs/>
      <w:sz w:val="20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 w:cs="Tahoma"/>
      <w:b/>
      <w:bCs/>
      <w:sz w:val="2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יולי, 2007</vt:lpstr>
      <vt:lpstr/>
      <vt:lpstr>        הקרן על שם חנה גולדמן</vt:lpstr>
      <vt:lpstr>    חברי ועדת הקרן על שם חנה גולדמן מזמינים בזאת יחידים ו/או צוותים הפועלים במסגרת ש</vt:lpstr>
      <vt:lpstr>    מטרת הקרן היא לסייע, לעודד ולתמוך בפרויקטים ו/או פעילויות בתחום הפסיכולוגיה הקלי</vt:lpstr>
      <vt:lpstr>    הקרן תעניק בשנת תשע"ה מענק לאחד עד שלושה פרויקטים.</vt:lpstr>
      <vt:lpstr>יולי, 2007 </vt:lpstr>
    </vt:vector>
  </TitlesOfParts>
  <Company>הסתדרות הפסיכולוגים בישראל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יולי, 2007</dc:title>
  <dc:subject/>
  <dc:creator>הילה</dc:creator>
  <cp:keywords/>
  <cp:lastModifiedBy>הילה</cp:lastModifiedBy>
  <cp:revision>2</cp:revision>
  <cp:lastPrinted>2008-08-26T09:37:00Z</cp:lastPrinted>
  <dcterms:created xsi:type="dcterms:W3CDTF">2015-01-14T14:02:00Z</dcterms:created>
  <dcterms:modified xsi:type="dcterms:W3CDTF">2015-01-14T14:02:00Z</dcterms:modified>
</cp:coreProperties>
</file>