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b w:val="0"/>
          <w:bCs w:val="0"/>
          <w:szCs w:val="20"/>
          <w:rtl/>
        </w:rPr>
        <w:t>570556</w:t>
      </w:r>
      <w:bookmarkEnd w:id="1"/>
    </w:p>
    <w:p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sz w:val="28"/>
          <w:szCs w:val="28"/>
          <w:rtl/>
        </w:rPr>
        <w:t xml:space="preserve">הכנסת </w:t>
      </w:r>
      <w:bookmarkStart w:id="2" w:name="LGS_Knesset_Num"/>
      <w:r>
        <w:rPr>
          <w:sz w:val="28"/>
          <w:szCs w:val="28"/>
          <w:rtl/>
        </w:rPr>
        <w:t>העשרים</w:t>
      </w:r>
      <w:bookmarkEnd w:id="2"/>
    </w:p>
    <w:p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:rsidR="00E13C27" w:rsidRPr="00CF1AA2" w:rsidRDefault="008F6665" w:rsidP="000A3A52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id="3" w:name="LGS_Initiators_List"/>
      <w:r>
        <w:rPr>
          <w:rFonts w:hint="cs"/>
          <w:b/>
          <w:bCs/>
          <w:rtl/>
        </w:rPr>
        <w:t>יוזמים</w:t>
      </w:r>
      <w:r>
        <w:rPr>
          <w:b/>
          <w:bCs/>
          <w:rtl/>
        </w:rPr>
        <w:t xml:space="preserve">:      </w:t>
      </w:r>
      <w:r>
        <w:rPr>
          <w:rFonts w:hint="cs"/>
          <w:b/>
          <w:bCs/>
          <w:rtl/>
        </w:rPr>
        <w:t>חברי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קארין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אלהרר</w:t>
      </w:r>
      <w:r>
        <w:br/>
      </w:r>
      <w:r>
        <w:rPr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אורי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מקלב</w:t>
      </w:r>
      <w:r>
        <w:br/>
      </w:r>
      <w:r>
        <w:rPr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משה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גפני</w:t>
      </w:r>
      <w:r>
        <w:br/>
      </w:r>
      <w:r>
        <w:rPr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מירב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ארי</w:t>
      </w:r>
      <w:r>
        <w:br/>
      </w:r>
      <w:r>
        <w:rPr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יעקב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מרגי</w:t>
      </w:r>
      <w:r>
        <w:br/>
      </w:r>
      <w:r>
        <w:rPr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מיקי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רוזנטל</w:t>
      </w:r>
      <w:r>
        <w:br/>
      </w:r>
      <w:r>
        <w:rPr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מיקי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לוי</w:t>
      </w:r>
      <w:r>
        <w:br/>
      </w:r>
      <w:r>
        <w:rPr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דוד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ביטן</w:t>
      </w:r>
      <w:r>
        <w:br/>
      </w:r>
      <w:r>
        <w:rPr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דוד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אמסלם</w:t>
      </w:r>
      <w:r>
        <w:br/>
      </w:r>
      <w:r>
        <w:rPr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רועי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פולקמן</w:t>
      </w:r>
      <w:r>
        <w:br/>
      </w:r>
      <w:r>
        <w:rPr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יעל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גרמן</w:t>
      </w:r>
      <w:r>
        <w:br/>
      </w:r>
      <w:r>
        <w:rPr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עיסאווי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פריג</w:t>
      </w:r>
      <w:r>
        <w:rPr>
          <w:b/>
          <w:bCs/>
          <w:rtl/>
        </w:rPr>
        <w:t>'</w:t>
      </w:r>
      <w:bookmarkStart w:id="5" w:name="LGS_Join_List"/>
      <w:bookmarkEnd w:id="4"/>
      <w:r w:rsidR="007D585A">
        <w:rPr>
          <w:rtl/>
        </w:rPr>
        <w:t xml:space="preserve"> </w:t>
      </w:r>
      <w:bookmarkEnd w:id="5"/>
      <w:r w:rsidR="002200A1" w:rsidRPr="00CF1AA2">
        <w:rPr>
          <w:rtl/>
        </w:rPr>
        <w:tab/>
      </w:r>
      <w:bookmarkStart w:id="6" w:name="LGS_PM_NamesJoin"/>
      <w:r w:rsidR="007D585A">
        <w:rPr>
          <w:rtl/>
        </w:rPr>
        <w:t xml:space="preserve"> </w:t>
      </w:r>
      <w:bookmarkEnd w:id="6"/>
    </w:p>
    <w:p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tl/>
        </w:rPr>
        <w:tab/>
      </w:r>
      <w:r w:rsidR="00E13C27" w:rsidRPr="00E06736">
        <w:rPr>
          <w:rtl/>
        </w:rPr>
        <w:tab/>
      </w:r>
      <w:r w:rsidR="00E13C27" w:rsidRPr="00E06736">
        <w:rPr>
          <w:rtl/>
        </w:rPr>
        <w:tab/>
      </w:r>
      <w:r w:rsidR="00904591">
        <w:t xml:space="preserve">           </w:t>
      </w:r>
    </w:p>
    <w:p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7" w:name="Private_Number"/>
      <w:r>
        <w:rPr>
          <w:rFonts w:hint="cs"/>
          <w:rtl/>
        </w:rPr>
        <w:t>פ</w:t>
      </w:r>
      <w:r>
        <w:rPr>
          <w:rtl/>
        </w:rPr>
        <w:t>/2234/20</w:t>
      </w:r>
      <w:bookmarkEnd w:id="7"/>
    </w:p>
    <w:p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:rsidR="00E13C27" w:rsidRPr="00F67051" w:rsidRDefault="00A443CF" w:rsidP="00704275">
      <w:pPr>
        <w:pStyle w:val="HeadHatzaotHok"/>
        <w:rPr>
          <w:rtl/>
        </w:rPr>
      </w:pPr>
      <w:bookmarkStart w:id="8" w:name="LGS_Subject"/>
      <w:r>
        <w:rPr>
          <w:rtl/>
        </w:rPr>
        <w:t xml:space="preserve">הצעת חוק התגמולים לנפגעי פעולות איבה (תיקון </w:t>
      </w:r>
      <w:r w:rsidR="00704275">
        <w:rPr>
          <w:rtl/>
        </w:rPr>
        <w:t>–</w:t>
      </w:r>
      <w:r>
        <w:rPr>
          <w:rtl/>
        </w:rPr>
        <w:t xml:space="preserve"> פשע שנאה), התשע"ו</w:t>
      </w:r>
      <w:r w:rsidR="00704275">
        <w:rPr>
          <w:rtl/>
        </w:rPr>
        <w:t>–</w:t>
      </w:r>
      <w:r>
        <w:rPr>
          <w:rtl/>
        </w:rPr>
        <w:t>2015</w:t>
      </w:r>
      <w:bookmarkEnd w:id="8"/>
    </w:p>
    <w:p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37" w:type="dxa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624"/>
        <w:gridCol w:w="7144"/>
      </w:tblGrid>
      <w:tr w:rsidR="00D56B98" w:rsidTr="00500BAD">
        <w:trPr>
          <w:cantSplit/>
          <w:trHeight w:val="843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56B98" w:rsidRDefault="00D56B98" w:rsidP="00D01FE8">
            <w:pPr>
              <w:pStyle w:val="TableSideHeading"/>
              <w:ind w:right="0"/>
            </w:pPr>
            <w:r>
              <w:rPr>
                <w:sz w:val="26"/>
                <w:rtl/>
              </w:rPr>
              <w:t>תיקון</w:t>
            </w:r>
            <w:r w:rsidRPr="00293723">
              <w:rPr>
                <w:sz w:val="26"/>
                <w:rtl/>
              </w:rPr>
              <w:t xml:space="preserve"> סעיף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56B98" w:rsidRDefault="00D56B98" w:rsidP="00D01FE8">
            <w:pPr>
              <w:pStyle w:val="TableText"/>
              <w:ind w:right="0"/>
              <w:jc w:val="both"/>
            </w:pPr>
            <w:r w:rsidRPr="00293723">
              <w:rPr>
                <w:sz w:val="26"/>
                <w:rtl/>
              </w:rPr>
              <w:t>1.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D56B98" w:rsidRDefault="00D56B98" w:rsidP="000A3A52">
            <w:pPr>
              <w:pStyle w:val="TableBlock"/>
            </w:pPr>
            <w:r w:rsidRPr="00293723">
              <w:rPr>
                <w:sz w:val="26"/>
                <w:rtl/>
              </w:rPr>
              <w:t xml:space="preserve">בחוק </w:t>
            </w:r>
            <w:r w:rsidRPr="00C25675">
              <w:rPr>
                <w:sz w:val="26"/>
                <w:rtl/>
              </w:rPr>
              <w:t>התגמולי</w:t>
            </w:r>
            <w:r>
              <w:rPr>
                <w:sz w:val="26"/>
                <w:rtl/>
              </w:rPr>
              <w:t xml:space="preserve">ם לנפגעי פעולות איבה, </w:t>
            </w:r>
            <w:r w:rsidR="00704275">
              <w:rPr>
                <w:sz w:val="26"/>
                <w:rtl/>
              </w:rPr>
              <w:t>ה</w:t>
            </w:r>
            <w:r>
              <w:rPr>
                <w:sz w:val="26"/>
                <w:rtl/>
              </w:rPr>
              <w:t>תש"ל</w:t>
            </w:r>
            <w:r w:rsidR="00704275">
              <w:rPr>
                <w:sz w:val="26"/>
                <w:rtl/>
              </w:rPr>
              <w:t>–</w:t>
            </w:r>
            <w:r>
              <w:rPr>
                <w:sz w:val="26"/>
                <w:rtl/>
              </w:rPr>
              <w:t>1970</w:t>
            </w:r>
            <w:r>
              <w:rPr>
                <w:rStyle w:val="FootnoteReference"/>
                <w:rFonts w:cs="David"/>
                <w:sz w:val="26"/>
                <w:rtl/>
              </w:rPr>
              <w:footnoteReference w:id="2"/>
            </w:r>
            <w:r w:rsidR="00704275">
              <w:rPr>
                <w:sz w:val="26"/>
                <w:rtl/>
              </w:rPr>
              <w:t>,</w:t>
            </w:r>
            <w:r w:rsidRPr="00C25675">
              <w:rPr>
                <w:sz w:val="26"/>
                <w:rtl/>
              </w:rPr>
              <w:t xml:space="preserve"> </w:t>
            </w:r>
            <w:r w:rsidR="000A3A52">
              <w:rPr>
                <w:sz w:val="26"/>
                <w:rtl/>
              </w:rPr>
              <w:t xml:space="preserve">בסעיף 1, </w:t>
            </w:r>
            <w:r w:rsidR="00500BAD">
              <w:rPr>
                <w:sz w:val="26"/>
                <w:rtl/>
              </w:rPr>
              <w:t xml:space="preserve">בהגדרה "פגיעת איבה" </w:t>
            </w:r>
            <w:r>
              <w:rPr>
                <w:rtl/>
              </w:rPr>
              <w:t>אחר</w:t>
            </w:r>
            <w:r w:rsidR="00704275">
              <w:rPr>
                <w:rtl/>
              </w:rPr>
              <w:t>י</w:t>
            </w:r>
            <w:r>
              <w:rPr>
                <w:rtl/>
              </w:rPr>
              <w:t xml:space="preserve"> </w:t>
            </w:r>
            <w:r w:rsidR="00704275">
              <w:rPr>
                <w:rtl/>
              </w:rPr>
              <w:t>פסקה</w:t>
            </w:r>
            <w:r w:rsidR="00500BAD">
              <w:rPr>
                <w:rtl/>
              </w:rPr>
              <w:t xml:space="preserve"> </w:t>
            </w:r>
            <w:r w:rsidR="00704275">
              <w:rPr>
                <w:rtl/>
              </w:rPr>
              <w:t>(</w:t>
            </w:r>
            <w:r>
              <w:rPr>
                <w:rtl/>
              </w:rPr>
              <w:t>5</w:t>
            </w:r>
            <w:r w:rsidR="00704275">
              <w:rPr>
                <w:rtl/>
              </w:rPr>
              <w:t>)</w:t>
            </w:r>
            <w:r>
              <w:rPr>
                <w:rtl/>
              </w:rPr>
              <w:t xml:space="preserve"> יבוא</w:t>
            </w:r>
            <w:r w:rsidR="00704275">
              <w:rPr>
                <w:rtl/>
              </w:rPr>
              <w:t>:</w:t>
            </w:r>
          </w:p>
        </w:tc>
      </w:tr>
      <w:tr w:rsidR="00704275" w:rsidTr="00500BAD">
        <w:tblPrEx>
          <w:tblLook w:val="01E0" w:firstRow="1" w:lastRow="1" w:firstColumn="1" w:lastColumn="1" w:noHBand="0" w:noVBand="0"/>
        </w:tblPrEx>
        <w:trPr>
          <w:cantSplit/>
          <w:trHeight w:val="843"/>
        </w:trPr>
        <w:tc>
          <w:tcPr>
            <w:tcW w:w="1869" w:type="dxa"/>
          </w:tcPr>
          <w:p w:rsidR="00704275" w:rsidRDefault="00704275" w:rsidP="00D01FE8">
            <w:pPr>
              <w:pStyle w:val="TableSideHeading"/>
            </w:pPr>
          </w:p>
        </w:tc>
        <w:tc>
          <w:tcPr>
            <w:tcW w:w="624" w:type="dxa"/>
          </w:tcPr>
          <w:p w:rsidR="00704275" w:rsidRDefault="00704275" w:rsidP="00D01FE8">
            <w:pPr>
              <w:pStyle w:val="TableText"/>
            </w:pPr>
          </w:p>
        </w:tc>
        <w:tc>
          <w:tcPr>
            <w:tcW w:w="7144" w:type="dxa"/>
          </w:tcPr>
          <w:p w:rsidR="00704275" w:rsidRDefault="0098080E" w:rsidP="00D01FE8">
            <w:pPr>
              <w:pStyle w:val="TableBlock"/>
            </w:pPr>
            <w:r>
              <w:rPr>
                <w:rtl/>
              </w:rPr>
              <w:t>"</w:t>
            </w:r>
            <w:r w:rsidR="00704275">
              <w:rPr>
                <w:rtl/>
              </w:rPr>
              <w:t xml:space="preserve">(6) </w:t>
            </w:r>
            <w:r>
              <w:rPr>
                <w:rtl/>
              </w:rPr>
              <w:tab/>
            </w:r>
            <w:r w:rsidR="00704275" w:rsidRPr="00C25675">
              <w:rPr>
                <w:rtl/>
              </w:rPr>
              <w:t>פגיעה ממעשה אלימות שמטרתו העיקרית פגיעה באדם בשל שנאה לקבוצה דתית, מוצא עדתי, נטייה מינ</w:t>
            </w:r>
            <w:r w:rsidR="00704275">
              <w:rPr>
                <w:rtl/>
              </w:rPr>
              <w:t>ית, זהות מגדרית או השקפה פוליטית.</w:t>
            </w:r>
            <w:r>
              <w:rPr>
                <w:rtl/>
              </w:rPr>
              <w:t>"</w:t>
            </w:r>
          </w:p>
        </w:tc>
      </w:tr>
    </w:tbl>
    <w:p w:rsidR="00D56B98" w:rsidRDefault="00D56B98" w:rsidP="00D56B98">
      <w:pPr>
        <w:pStyle w:val="HeadDivreiHesber"/>
        <w:spacing w:line="480" w:lineRule="auto"/>
        <w:rPr>
          <w:rtl/>
        </w:rPr>
      </w:pPr>
      <w:r w:rsidRPr="0027450A">
        <w:rPr>
          <w:rtl/>
        </w:rPr>
        <w:t>דברי הסבר</w:t>
      </w:r>
    </w:p>
    <w:p w:rsidR="00D56B98" w:rsidRPr="00007B6E" w:rsidRDefault="00D56B98" w:rsidP="000A3A52">
      <w:pPr>
        <w:pStyle w:val="Hesber"/>
        <w:rPr>
          <w:rtl/>
        </w:rPr>
      </w:pPr>
      <w:r w:rsidRPr="0098080E">
        <w:rPr>
          <w:rtl/>
        </w:rPr>
        <w:t xml:space="preserve">בתקופה האחרונה אנו עדים למגמה מדאיגה </w:t>
      </w:r>
      <w:r w:rsidRPr="00007B6E">
        <w:rPr>
          <w:rtl/>
        </w:rPr>
        <w:t>בחברה הישראלית המתבטאת בפעילויות אלימות כלפי קבוצות שונות בחברה. בבסיס</w:t>
      </w:r>
      <w:r w:rsidR="00762D1F">
        <w:rPr>
          <w:rtl/>
        </w:rPr>
        <w:t>ם של אותם גילויי אלימות עומדים מניעים של</w:t>
      </w:r>
      <w:r w:rsidRPr="00007B6E">
        <w:rPr>
          <w:rtl/>
        </w:rPr>
        <w:t xml:space="preserve"> עוינות ושנאה כלפי קבוצות, בשל היותן קבוצות המאגדות בתוכן אנשים החולקים </w:t>
      </w:r>
      <w:r w:rsidR="00762D1F">
        <w:rPr>
          <w:rtl/>
        </w:rPr>
        <w:t xml:space="preserve">את </w:t>
      </w:r>
      <w:r w:rsidRPr="00007B6E">
        <w:rPr>
          <w:rtl/>
        </w:rPr>
        <w:t>אותה אמונה דתית, מוצא עדתי, נטייה מינית</w:t>
      </w:r>
      <w:r w:rsidR="00762D1F">
        <w:rPr>
          <w:rtl/>
        </w:rPr>
        <w:t>, זהות מגדרית או השקפה פוליטית,</w:t>
      </w:r>
      <w:r w:rsidRPr="00007B6E">
        <w:rPr>
          <w:rtl/>
        </w:rPr>
        <w:t xml:space="preserve"> ולא עוינות כלפי אדם פרטי </w:t>
      </w:r>
      <w:r w:rsidR="000A3A52">
        <w:rPr>
          <w:rtl/>
        </w:rPr>
        <w:t>ב</w:t>
      </w:r>
      <w:r w:rsidRPr="00007B6E">
        <w:rPr>
          <w:rtl/>
        </w:rPr>
        <w:t>אותן קבוצות. לפיכך, מעשה אלימות כלפי אדם אך ורק</w:t>
      </w:r>
      <w:r w:rsidR="000A3A52">
        <w:rPr>
          <w:rtl/>
        </w:rPr>
        <w:t xml:space="preserve"> בשל השתייכותו לקבוצה מסוימת ה</w:t>
      </w:r>
      <w:r w:rsidRPr="00007B6E">
        <w:rPr>
          <w:rtl/>
        </w:rPr>
        <w:t>ו</w:t>
      </w:r>
      <w:r w:rsidR="000A3A52">
        <w:rPr>
          <w:rtl/>
        </w:rPr>
        <w:t>א</w:t>
      </w:r>
      <w:r w:rsidRPr="00007B6E">
        <w:rPr>
          <w:rtl/>
        </w:rPr>
        <w:t xml:space="preserve"> פשע שנאה מובהק. לרוב, קבוצות אלו אשר </w:t>
      </w:r>
      <w:r w:rsidR="00762D1F">
        <w:rPr>
          <w:rtl/>
        </w:rPr>
        <w:t>נעשים</w:t>
      </w:r>
      <w:r w:rsidRPr="00007B6E">
        <w:rPr>
          <w:rtl/>
        </w:rPr>
        <w:t xml:space="preserve"> כלפיהן מעשי אלימות, ראויות להגנה מיוחדת עקב חשש מוגבר לעוינות, לפגיעה או לאלימות כלפי </w:t>
      </w:r>
      <w:r w:rsidRPr="00007B6E">
        <w:rPr>
          <w:rtl/>
        </w:rPr>
        <w:lastRenderedPageBreak/>
        <w:t xml:space="preserve">האנשים </w:t>
      </w:r>
      <w:r w:rsidR="000A3A52">
        <w:rPr>
          <w:rtl/>
        </w:rPr>
        <w:t>המשתייכים אליהן</w:t>
      </w:r>
      <w:r w:rsidRPr="00007B6E">
        <w:rPr>
          <w:rtl/>
        </w:rPr>
        <w:t xml:space="preserve">. </w:t>
      </w:r>
    </w:p>
    <w:p w:rsidR="00D56B98" w:rsidRDefault="00D56B98" w:rsidP="00762D1F">
      <w:pPr>
        <w:pStyle w:val="Hesber"/>
        <w:rPr>
          <w:rtl/>
        </w:rPr>
      </w:pPr>
      <w:r w:rsidRPr="00007B6E">
        <w:rPr>
          <w:rtl/>
        </w:rPr>
        <w:t xml:space="preserve">מוצע בזאת להרחיב ולהחיל את חוק התגמולים לנפגעי פעולות איבה על </w:t>
      </w:r>
      <w:r w:rsidR="00762D1F">
        <w:rPr>
          <w:rtl/>
        </w:rPr>
        <w:t>כך שיכלול סוג נוסף של פגיעה בקבוצות</w:t>
      </w:r>
      <w:r w:rsidRPr="00007B6E">
        <w:rPr>
          <w:rtl/>
        </w:rPr>
        <w:t>, אשר מועדות לעיתים קרובות לגילויי שנאה כלפיהן וראויות בשל כך להגנות הקבועות בחוק.</w:t>
      </w:r>
    </w:p>
    <w:p w:rsidR="00206102" w:rsidRDefault="00206102" w:rsidP="00500BAD">
      <w:pPr>
        <w:pStyle w:val="Hesber"/>
        <w:rPr>
          <w:rtl/>
        </w:rPr>
      </w:pPr>
      <w:r>
        <w:rPr>
          <w:rtl/>
        </w:rPr>
        <w:t>הצעות חוק דומות בעיקרן הונחו על שולחן הכנסת התשע-עשרה על ידי חבר הכנסת ניצן הורוביץ וקבוצת חברי הכנסת (פ/670/19), על שולחן הכנסת העשרים על ידי חברת הכנסת מיכל רוזין וקבוצת חברי הכנסת (פ/121/20), על ידי חברת הכנסת מרב מיכאלי (פ/769/20) ועל ידי חבר הכנסת דב חנין וקבוצת חברי הכנסת (פ/2143/20).</w:t>
      </w:r>
    </w:p>
    <w:p w:rsidR="000A3A52" w:rsidRDefault="000A3A52" w:rsidP="00500BAD">
      <w:pPr>
        <w:pStyle w:val="Hesber"/>
        <w:rPr>
          <w:rtl/>
        </w:rPr>
      </w:pPr>
    </w:p>
    <w:p w:rsidR="000A3A52" w:rsidRDefault="000A3A52" w:rsidP="00500BAD">
      <w:pPr>
        <w:pStyle w:val="Hesber"/>
        <w:rPr>
          <w:rtl/>
        </w:rPr>
      </w:pPr>
    </w:p>
    <w:p w:rsidR="000A3A52" w:rsidRPr="00206102" w:rsidRDefault="000A3A52" w:rsidP="00500BAD">
      <w:pPr>
        <w:pStyle w:val="Hesber"/>
        <w:rPr>
          <w:rtl/>
        </w:rPr>
      </w:pPr>
    </w:p>
    <w:p w:rsidR="00D56B98" w:rsidRPr="00007B6E" w:rsidRDefault="00D56B98" w:rsidP="00500BAD">
      <w:pPr>
        <w:pStyle w:val="Hesber"/>
        <w:rPr>
          <w:rtl/>
        </w:rPr>
      </w:pPr>
    </w:p>
    <w:p w:rsidR="000A3A52" w:rsidRDefault="000A3A52" w:rsidP="000A3A52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>
        <w:rPr>
          <w:rFonts w:cs="David"/>
          <w:snapToGrid w:val="0"/>
          <w:spacing w:val="0"/>
          <w:sz w:val="20"/>
          <w:szCs w:val="26"/>
          <w:rtl/>
        </w:rPr>
        <w:t>---------------------------------</w:t>
      </w:r>
    </w:p>
    <w:p w:rsidR="000A3A52" w:rsidRDefault="000A3A52" w:rsidP="000A3A52">
      <w:pPr>
        <w:spacing w:before="0" w:line="360" w:lineRule="auto"/>
        <w:ind w:left="340" w:firstLine="0"/>
        <w:rPr>
          <w:rFonts w:cs="David"/>
          <w:snapToGrid w:val="0"/>
          <w:spacing w:val="0"/>
          <w:sz w:val="20"/>
          <w:szCs w:val="26"/>
          <w:rtl/>
        </w:rPr>
      </w:pPr>
      <w:r>
        <w:rPr>
          <w:rFonts w:cs="David" w:hint="cs"/>
          <w:snapToGrid w:val="0"/>
          <w:spacing w:val="0"/>
          <w:sz w:val="20"/>
          <w:szCs w:val="26"/>
          <w:rtl/>
        </w:rPr>
        <w:t>הוגשה</w:t>
      </w:r>
      <w:r>
        <w:rPr>
          <w:rFonts w:cs="David"/>
          <w:snapToGrid w:val="0"/>
          <w:spacing w:val="0"/>
          <w:sz w:val="20"/>
          <w:szCs w:val="26"/>
          <w:rtl/>
        </w:rPr>
        <w:t xml:space="preserve"> </w:t>
      </w:r>
      <w:r>
        <w:rPr>
          <w:rFonts w:cs="David" w:hint="cs"/>
          <w:snapToGrid w:val="0"/>
          <w:spacing w:val="0"/>
          <w:sz w:val="20"/>
          <w:szCs w:val="26"/>
          <w:rtl/>
        </w:rPr>
        <w:t>ליו</w:t>
      </w:r>
      <w:r>
        <w:rPr>
          <w:rFonts w:cs="David"/>
          <w:snapToGrid w:val="0"/>
          <w:spacing w:val="0"/>
          <w:sz w:val="20"/>
          <w:szCs w:val="26"/>
          <w:rtl/>
        </w:rPr>
        <w:t>"</w:t>
      </w:r>
      <w:r>
        <w:rPr>
          <w:rFonts w:cs="David" w:hint="cs"/>
          <w:snapToGrid w:val="0"/>
          <w:spacing w:val="0"/>
          <w:sz w:val="20"/>
          <w:szCs w:val="26"/>
          <w:rtl/>
        </w:rPr>
        <w:t>ר</w:t>
      </w:r>
      <w:r>
        <w:rPr>
          <w:rFonts w:cs="David"/>
          <w:snapToGrid w:val="0"/>
          <w:spacing w:val="0"/>
          <w:sz w:val="20"/>
          <w:szCs w:val="26"/>
          <w:rtl/>
        </w:rPr>
        <w:t xml:space="preserve"> </w:t>
      </w:r>
      <w:r>
        <w:rPr>
          <w:rFonts w:cs="David" w:hint="cs"/>
          <w:snapToGrid w:val="0"/>
          <w:spacing w:val="0"/>
          <w:sz w:val="20"/>
          <w:szCs w:val="26"/>
          <w:rtl/>
        </w:rPr>
        <w:t>הכנסת</w:t>
      </w:r>
      <w:r>
        <w:rPr>
          <w:rFonts w:cs="David"/>
          <w:snapToGrid w:val="0"/>
          <w:spacing w:val="0"/>
          <w:sz w:val="20"/>
          <w:szCs w:val="26"/>
          <w:rtl/>
        </w:rPr>
        <w:t xml:space="preserve"> </w:t>
      </w:r>
      <w:r>
        <w:rPr>
          <w:rFonts w:cs="David" w:hint="cs"/>
          <w:snapToGrid w:val="0"/>
          <w:spacing w:val="0"/>
          <w:sz w:val="20"/>
          <w:szCs w:val="26"/>
          <w:rtl/>
        </w:rPr>
        <w:t>והסגנים</w:t>
      </w:r>
    </w:p>
    <w:p w:rsidR="000A3A52" w:rsidRDefault="000A3A52" w:rsidP="000A3A52">
      <w:pPr>
        <w:spacing w:before="0" w:line="360" w:lineRule="auto"/>
        <w:ind w:left="340" w:firstLine="0"/>
        <w:rPr>
          <w:rFonts w:cs="David"/>
          <w:snapToGrid w:val="0"/>
          <w:spacing w:val="0"/>
          <w:sz w:val="20"/>
          <w:szCs w:val="26"/>
          <w:rtl/>
        </w:rPr>
      </w:pPr>
      <w:r>
        <w:rPr>
          <w:rFonts w:cs="David" w:hint="cs"/>
          <w:snapToGrid w:val="0"/>
          <w:spacing w:val="0"/>
          <w:sz w:val="20"/>
          <w:szCs w:val="26"/>
          <w:rtl/>
        </w:rPr>
        <w:t>והונחה</w:t>
      </w:r>
      <w:r>
        <w:rPr>
          <w:rFonts w:cs="David"/>
          <w:snapToGrid w:val="0"/>
          <w:spacing w:val="0"/>
          <w:sz w:val="20"/>
          <w:szCs w:val="26"/>
          <w:rtl/>
        </w:rPr>
        <w:t xml:space="preserve"> </w:t>
      </w:r>
      <w:r>
        <w:rPr>
          <w:rFonts w:cs="David" w:hint="cs"/>
          <w:snapToGrid w:val="0"/>
          <w:spacing w:val="0"/>
          <w:sz w:val="20"/>
          <w:szCs w:val="26"/>
          <w:rtl/>
        </w:rPr>
        <w:t>על</w:t>
      </w:r>
      <w:r>
        <w:rPr>
          <w:rFonts w:cs="David"/>
          <w:snapToGrid w:val="0"/>
          <w:spacing w:val="0"/>
          <w:sz w:val="20"/>
          <w:szCs w:val="26"/>
          <w:rtl/>
        </w:rPr>
        <w:t xml:space="preserve"> </w:t>
      </w:r>
      <w:r>
        <w:rPr>
          <w:rFonts w:cs="David" w:hint="cs"/>
          <w:snapToGrid w:val="0"/>
          <w:spacing w:val="0"/>
          <w:sz w:val="20"/>
          <w:szCs w:val="26"/>
          <w:rtl/>
        </w:rPr>
        <w:t>שולחן</w:t>
      </w:r>
      <w:r>
        <w:rPr>
          <w:rFonts w:cs="David"/>
          <w:snapToGrid w:val="0"/>
          <w:spacing w:val="0"/>
          <w:sz w:val="20"/>
          <w:szCs w:val="26"/>
          <w:rtl/>
        </w:rPr>
        <w:t xml:space="preserve"> </w:t>
      </w:r>
      <w:r>
        <w:rPr>
          <w:rFonts w:cs="David" w:hint="cs"/>
          <w:snapToGrid w:val="0"/>
          <w:spacing w:val="0"/>
          <w:sz w:val="20"/>
          <w:szCs w:val="26"/>
          <w:rtl/>
        </w:rPr>
        <w:t>הכנסת</w:t>
      </w:r>
      <w:r>
        <w:rPr>
          <w:rFonts w:cs="David"/>
          <w:snapToGrid w:val="0"/>
          <w:spacing w:val="0"/>
          <w:sz w:val="20"/>
          <w:szCs w:val="26"/>
          <w:rtl/>
        </w:rPr>
        <w:t xml:space="preserve"> </w:t>
      </w:r>
      <w:r>
        <w:rPr>
          <w:rFonts w:cs="David" w:hint="cs"/>
          <w:snapToGrid w:val="0"/>
          <w:spacing w:val="0"/>
          <w:sz w:val="20"/>
          <w:szCs w:val="26"/>
          <w:rtl/>
        </w:rPr>
        <w:t>ביום</w:t>
      </w:r>
    </w:p>
    <w:p w:rsidR="000A3A52" w:rsidRDefault="000A3A52" w:rsidP="000A3A52">
      <w:pPr>
        <w:spacing w:before="0" w:line="360" w:lineRule="auto"/>
        <w:ind w:left="340" w:firstLine="0"/>
        <w:rPr>
          <w:rFonts w:cs="David"/>
          <w:snapToGrid w:val="0"/>
          <w:spacing w:val="0"/>
          <w:sz w:val="20"/>
          <w:szCs w:val="26"/>
          <w:rtl/>
        </w:rPr>
      </w:pPr>
      <w:r>
        <w:rPr>
          <w:rFonts w:cs="David" w:hint="cs"/>
          <w:snapToGrid w:val="0"/>
          <w:spacing w:val="0"/>
          <w:sz w:val="20"/>
          <w:szCs w:val="26"/>
          <w:rtl/>
        </w:rPr>
        <w:t>י</w:t>
      </w:r>
      <w:r>
        <w:rPr>
          <w:rFonts w:cs="David"/>
          <w:snapToGrid w:val="0"/>
          <w:spacing w:val="0"/>
          <w:sz w:val="20"/>
          <w:szCs w:val="26"/>
          <w:rtl/>
        </w:rPr>
        <w:t>"</w:t>
      </w:r>
      <w:r>
        <w:rPr>
          <w:rFonts w:cs="David" w:hint="cs"/>
          <w:snapToGrid w:val="0"/>
          <w:spacing w:val="0"/>
          <w:sz w:val="20"/>
          <w:szCs w:val="26"/>
          <w:rtl/>
        </w:rPr>
        <w:t>א</w:t>
      </w:r>
      <w:r>
        <w:rPr>
          <w:rFonts w:cs="David"/>
          <w:snapToGrid w:val="0"/>
          <w:spacing w:val="0"/>
          <w:sz w:val="20"/>
          <w:szCs w:val="26"/>
          <w:rtl/>
        </w:rPr>
        <w:t xml:space="preserve"> </w:t>
      </w:r>
      <w:r>
        <w:rPr>
          <w:rFonts w:cs="David" w:hint="cs"/>
          <w:snapToGrid w:val="0"/>
          <w:spacing w:val="0"/>
          <w:sz w:val="20"/>
          <w:szCs w:val="26"/>
          <w:rtl/>
        </w:rPr>
        <w:t>בכסלו</w:t>
      </w:r>
      <w:r>
        <w:rPr>
          <w:rFonts w:cs="David"/>
          <w:snapToGrid w:val="0"/>
          <w:spacing w:val="0"/>
          <w:sz w:val="20"/>
          <w:szCs w:val="26"/>
          <w:rtl/>
        </w:rPr>
        <w:t xml:space="preserve"> </w:t>
      </w:r>
      <w:r>
        <w:rPr>
          <w:rFonts w:cs="David" w:hint="cs"/>
          <w:snapToGrid w:val="0"/>
          <w:spacing w:val="0"/>
          <w:sz w:val="20"/>
          <w:szCs w:val="26"/>
          <w:rtl/>
        </w:rPr>
        <w:t>התשע</w:t>
      </w:r>
      <w:r>
        <w:rPr>
          <w:rFonts w:cs="David"/>
          <w:snapToGrid w:val="0"/>
          <w:spacing w:val="0"/>
          <w:sz w:val="20"/>
          <w:szCs w:val="26"/>
          <w:rtl/>
        </w:rPr>
        <w:t>"</w:t>
      </w:r>
      <w:r>
        <w:rPr>
          <w:rFonts w:cs="David" w:hint="cs"/>
          <w:snapToGrid w:val="0"/>
          <w:spacing w:val="0"/>
          <w:sz w:val="20"/>
          <w:szCs w:val="26"/>
          <w:rtl/>
        </w:rPr>
        <w:t>ו</w:t>
      </w:r>
      <w:r>
        <w:rPr>
          <w:rFonts w:cs="David"/>
          <w:snapToGrid w:val="0"/>
          <w:spacing w:val="0"/>
          <w:sz w:val="20"/>
          <w:szCs w:val="26"/>
          <w:rtl/>
        </w:rPr>
        <w:t xml:space="preserve"> – 23.11.15</w:t>
      </w:r>
    </w:p>
    <w:p w:rsidR="00E13C27" w:rsidRPr="00007B6E" w:rsidRDefault="00E13C27" w:rsidP="0098080E">
      <w:pPr>
        <w:pStyle w:val="Hesber"/>
        <w:rPr>
          <w:rtl/>
        </w:rPr>
      </w:pPr>
    </w:p>
    <w:sectPr w:rsidR="00E13C27" w:rsidRPr="00007B6E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91" w:rsidRDefault="000E2391">
      <w:r>
        <w:separator/>
      </w:r>
    </w:p>
  </w:endnote>
  <w:endnote w:type="continuationSeparator" w:id="0">
    <w:p w:rsidR="000E2391" w:rsidRDefault="000E2391">
      <w:r>
        <w:continuationSeparator/>
      </w:r>
    </w:p>
  </w:endnote>
  <w:endnote w:type="continuationNotice" w:id="1">
    <w:p w:rsidR="000E2391" w:rsidRDefault="000E239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41" w:rsidRDefault="002C3041" w:rsidP="001207F8">
    <w:pPr>
      <w:pStyle w:val="Footer"/>
      <w:framePr w:wrap="around" w:vAnchor="text" w:hAnchor="text" w:xAlign="center" w:y="1"/>
      <w:rPr>
        <w:rStyle w:val="PageNumber"/>
        <w:rFonts w:cs="Hadasa Roso SL"/>
      </w:rPr>
    </w:pPr>
    <w:r>
      <w:rPr>
        <w:rStyle w:val="PageNumber"/>
        <w:rFonts w:cs="Hadasa Roso SL"/>
      </w:rPr>
      <w:fldChar w:fldCharType="begin"/>
    </w:r>
    <w:r>
      <w:rPr>
        <w:rStyle w:val="PageNumber"/>
        <w:rFonts w:cs="Hadasa Roso SL"/>
      </w:rPr>
      <w:instrText xml:space="preserve">PAGE  </w:instrText>
    </w:r>
    <w:r>
      <w:rPr>
        <w:rStyle w:val="PageNumber"/>
        <w:rFonts w:cs="Hadasa Roso SL"/>
      </w:rPr>
      <w:fldChar w:fldCharType="end"/>
    </w:r>
  </w:p>
  <w:p w:rsidR="002C3041" w:rsidRDefault="002C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41" w:rsidRDefault="002C3041" w:rsidP="001207F8">
    <w:pPr>
      <w:pStyle w:val="Footer"/>
      <w:framePr w:wrap="around" w:vAnchor="text" w:hAnchor="text" w:xAlign="center" w:y="1"/>
      <w:rPr>
        <w:rStyle w:val="PageNumber"/>
        <w:rFonts w:cs="Hadasa Roso SL"/>
      </w:rPr>
    </w:pPr>
    <w:r>
      <w:rPr>
        <w:rStyle w:val="PageNumber"/>
        <w:rFonts w:cs="Hadasa Roso SL"/>
      </w:rPr>
      <w:fldChar w:fldCharType="begin"/>
    </w:r>
    <w:r>
      <w:rPr>
        <w:rStyle w:val="PageNumber"/>
        <w:rFonts w:cs="Hadasa Roso SL"/>
      </w:rPr>
      <w:instrText xml:space="preserve">PAGE  </w:instrText>
    </w:r>
    <w:r>
      <w:rPr>
        <w:rStyle w:val="PageNumber"/>
        <w:rFonts w:cs="Hadasa Roso SL"/>
      </w:rPr>
      <w:fldChar w:fldCharType="separate"/>
    </w:r>
    <w:r w:rsidR="00372192">
      <w:rPr>
        <w:rStyle w:val="PageNumber"/>
        <w:noProof/>
        <w:rtl/>
      </w:rPr>
      <w:t>2</w:t>
    </w:r>
    <w:r>
      <w:rPr>
        <w:rStyle w:val="PageNumber"/>
        <w:rFonts w:cs="Hadasa Roso SL"/>
      </w:rPr>
      <w:fldChar w:fldCharType="end"/>
    </w:r>
  </w:p>
  <w:p w:rsidR="002C3041" w:rsidRDefault="002C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91" w:rsidRDefault="000E2391">
      <w:r>
        <w:separator/>
      </w:r>
    </w:p>
  </w:footnote>
  <w:footnote w:type="continuationSeparator" w:id="0">
    <w:p w:rsidR="000E2391" w:rsidRDefault="000E2391">
      <w:r>
        <w:continuationSeparator/>
      </w:r>
    </w:p>
  </w:footnote>
  <w:footnote w:type="continuationNotice" w:id="1">
    <w:p w:rsidR="000E2391" w:rsidRDefault="000E2391"/>
  </w:footnote>
  <w:footnote w:id="2">
    <w:p w:rsidR="00000000" w:rsidRDefault="00D56B98" w:rsidP="00D56B98">
      <w:pPr>
        <w:pStyle w:val="FootnoteText"/>
      </w:pPr>
      <w:r>
        <w:rPr>
          <w:rStyle w:val="FootnoteReference"/>
          <w:rFonts w:cs="David"/>
        </w:rPr>
        <w:footnoteRef/>
      </w:r>
      <w:r>
        <w:rPr>
          <w:sz w:val="20"/>
          <w:rtl/>
        </w:rPr>
        <w:t xml:space="preserve"> ס"ח התש"ל, עמ' 126.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</w:pPr>
      <w:rPr>
        <w:rFonts w:cs="Times New Roman"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</w:pPr>
      <w:rPr>
        <w:rFonts w:cs="Times New Roman"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</w:pPr>
      <w:rPr>
        <w:rFonts w:cs="Times New Roman"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</w:pPr>
      <w:rPr>
        <w:rFonts w:cs="Times New Roman"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/>
      </w:pPr>
      <w:rPr>
        <w:rFonts w:cs="Times New Roman"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07B6E"/>
    <w:rsid w:val="00015B27"/>
    <w:rsid w:val="00063A3E"/>
    <w:rsid w:val="00072CAC"/>
    <w:rsid w:val="0007681A"/>
    <w:rsid w:val="000A3A52"/>
    <w:rsid w:val="000A542E"/>
    <w:rsid w:val="000E2391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06102"/>
    <w:rsid w:val="00214D7B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450A"/>
    <w:rsid w:val="0027600C"/>
    <w:rsid w:val="00292712"/>
    <w:rsid w:val="00293723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72192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00BAD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4275"/>
    <w:rsid w:val="0070601E"/>
    <w:rsid w:val="00712C72"/>
    <w:rsid w:val="00735FE9"/>
    <w:rsid w:val="00760892"/>
    <w:rsid w:val="00762D1F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080E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42430"/>
    <w:rsid w:val="00B733A7"/>
    <w:rsid w:val="00B75C91"/>
    <w:rsid w:val="00B975AD"/>
    <w:rsid w:val="00BC45FB"/>
    <w:rsid w:val="00BF148D"/>
    <w:rsid w:val="00C23B1A"/>
    <w:rsid w:val="00C25675"/>
    <w:rsid w:val="00C310EB"/>
    <w:rsid w:val="00C9176A"/>
    <w:rsid w:val="00CF1AA2"/>
    <w:rsid w:val="00D01FE8"/>
    <w:rsid w:val="00D17774"/>
    <w:rsid w:val="00D56B98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867F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647A2B-BBEA-4F54-A678-1F14475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color w:val="000000"/>
      <w:szCs w:val="26"/>
      <w:lang w:eastAsia="ja-JP"/>
    </w:rPr>
  </w:style>
  <w:style w:type="paragraph" w:customStyle="1" w:styleId="Cover1-Reshumot">
    <w:name w:val="Cover 1-Reshumot"/>
    <w:basedOn w:val="Normal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Normal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Normal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pacing w:val="0"/>
      <w:sz w:val="20"/>
      <w:szCs w:val="26"/>
    </w:rPr>
  </w:style>
  <w:style w:type="paragraph" w:customStyle="1" w:styleId="HeadHatzaotHok">
    <w:name w:val="Head HatzaotHok"/>
    <w:basedOn w:val="Normal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EndnoteText">
    <w:name w:val="endnote text"/>
    <w:basedOn w:val="Normal"/>
    <w:link w:val="EndnoteTextChar"/>
    <w:uiPriority w:val="99"/>
    <w:semiHidden/>
    <w:rsid w:val="00B975AD"/>
    <w:pPr>
      <w:ind w:left="227" w:hanging="227"/>
    </w:pPr>
    <w:rPr>
      <w:sz w:val="14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Hadasa Roso SL" w:hAnsi="Hadasa Roso SL" w:cs="Hadasa Roso SL"/>
      <w:color w:val="000000"/>
      <w:spacing w:val="1"/>
      <w:lang w:val="x-none" w:eastAsia="ja-JP"/>
    </w:rPr>
  </w:style>
  <w:style w:type="paragraph" w:customStyle="1" w:styleId="TableText">
    <w:name w:val="Table Text"/>
    <w:basedOn w:val="Normal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Normal"/>
    <w:uiPriority w:val="99"/>
    <w:rsid w:val="00B975AD"/>
    <w:pPr>
      <w:snapToGrid w:val="0"/>
      <w:spacing w:before="0" w:line="360" w:lineRule="auto"/>
    </w:pPr>
    <w:rPr>
      <w:rFonts w:ascii="Arial" w:eastAsia="Arial Unicode MS" w:hAnsi="Arial" w:cs="David"/>
      <w:spacing w:val="0"/>
      <w:sz w:val="20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pacing w:val="0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56B98"/>
    <w:rPr>
      <w:rFonts w:ascii="Arial" w:eastAsia="Arial Unicode MS" w:hAnsi="Arial" w:cs="David"/>
      <w:color w:val="000000"/>
      <w:sz w:val="14"/>
      <w:lang w:val="x-none" w:eastAsia="ja-JP" w:bidi="he-IL"/>
    </w:rPr>
  </w:style>
  <w:style w:type="character" w:styleId="FootnoteReference">
    <w:name w:val="footnote reference"/>
    <w:basedOn w:val="DefaultParagraphFont"/>
    <w:uiPriority w:val="99"/>
    <w:rsid w:val="00B975AD"/>
    <w:rPr>
      <w:rFonts w:cs="Times New Roman"/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EndnoteReference">
    <w:name w:val="endnote reference"/>
    <w:basedOn w:val="DefaultParagraphFont"/>
    <w:uiPriority w:val="99"/>
    <w:semiHidden/>
    <w:rsid w:val="00B975AD"/>
    <w:rPr>
      <w:rFonts w:cs="Times New Roman"/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Header">
    <w:name w:val="header"/>
    <w:basedOn w:val="Normal"/>
    <w:link w:val="HeaderChar"/>
    <w:uiPriority w:val="99"/>
    <w:rsid w:val="00B975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adasa Roso SL" w:hAnsi="Hadasa Roso SL" w:cs="Hadasa Roso SL"/>
      <w:color w:val="000000"/>
      <w:spacing w:val="1"/>
      <w:sz w:val="17"/>
      <w:szCs w:val="17"/>
      <w:lang w:val="x-none" w:eastAsia="ja-JP"/>
    </w:rPr>
  </w:style>
  <w:style w:type="paragraph" w:styleId="Footer">
    <w:name w:val="footer"/>
    <w:basedOn w:val="Normal"/>
    <w:link w:val="FooterChar"/>
    <w:uiPriority w:val="99"/>
    <w:rsid w:val="00B975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adasa Roso SL" w:hAnsi="Hadasa Roso SL" w:cs="Hadasa Roso SL"/>
      <w:color w:val="000000"/>
      <w:spacing w:val="1"/>
      <w:sz w:val="17"/>
      <w:szCs w:val="17"/>
      <w:lang w:val="x-none" w:eastAsia="ja-JP"/>
    </w:rPr>
  </w:style>
  <w:style w:type="paragraph" w:customStyle="1" w:styleId="HeadDivreiHesber">
    <w:name w:val="Head DivreiHesber"/>
    <w:basedOn w:val="Normal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pacing w:val="40"/>
      <w:sz w:val="20"/>
      <w:szCs w:val="26"/>
    </w:rPr>
  </w:style>
  <w:style w:type="paragraph" w:customStyle="1" w:styleId="Ragil">
    <w:name w:val="Ragil"/>
    <w:basedOn w:val="Normal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pacing w:val="0"/>
      <w:sz w:val="20"/>
      <w:szCs w:val="26"/>
    </w:rPr>
  </w:style>
  <w:style w:type="paragraph" w:styleId="Title">
    <w:name w:val="Title"/>
    <w:basedOn w:val="Normal"/>
    <w:link w:val="TitleChar"/>
    <w:uiPriority w:val="10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spacing w:val="1"/>
      <w:kern w:val="28"/>
      <w:sz w:val="32"/>
      <w:szCs w:val="32"/>
      <w:lang w:val="x-none" w:eastAsia="ja-JP"/>
    </w:rPr>
  </w:style>
  <w:style w:type="character" w:styleId="PageNumber">
    <w:name w:val="page number"/>
    <w:basedOn w:val="DefaultParagraphFont"/>
    <w:uiPriority w:val="99"/>
    <w:rsid w:val="00B975AD"/>
    <w:rPr>
      <w:rFonts w:cs="Times New Roman"/>
    </w:rPr>
  </w:style>
  <w:style w:type="paragraph" w:customStyle="1" w:styleId="David">
    <w:name w:val="רגיל + (עברית ושפות אחרות) David"/>
    <w:aliases w:val="‏13 נק',מודגש,אחרי:  6 נק'"/>
    <w:basedOn w:val="Normal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C14"/>
    <w:rPr>
      <w:rFonts w:ascii="Tahoma" w:hAnsi="Tahoma" w:cs="Tahoma"/>
      <w:color w:val="000000"/>
      <w:spacing w:val="1"/>
      <w:sz w:val="16"/>
      <w:szCs w:val="16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50D86-7B54-4C55-9D04-DDE44141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6DBAD8-158B-4C7A-B5E5-5F78706B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הצעת חוק התגמולים לנפגעי פעולות איבה (תיקון - פשע שנאה), התשע"ו-2015</vt:lpstr>
    </vt:vector>
  </TitlesOfParts>
  <Company>Knesset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חוק התגמולים לנפגעי פעולות איבה (תיקון - פשע שנאה), התשע"ו-2015</dc:title>
  <dc:subject/>
  <dc:creator>מיקה צור</dc:creator>
  <cp:keywords/>
  <dc:description/>
  <cp:lastModifiedBy>Noa Zilberstein</cp:lastModifiedBy>
  <cp:revision>2</cp:revision>
  <cp:lastPrinted>2015-11-18T12:05:00Z</cp:lastPrinted>
  <dcterms:created xsi:type="dcterms:W3CDTF">2016-01-07T10:27:00Z</dcterms:created>
  <dcterms:modified xsi:type="dcterms:W3CDTF">2016-01-07T10:27:00Z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570556</vt:r8>
  </property>
  <property fmtid="{D5CDD505-2E9C-101B-9397-08002B2CF9AE}" pid="6" name="Autonumber">
    <vt:lpwstr>316353</vt:lpwstr>
  </property>
  <property fmtid="{D5CDD505-2E9C-101B-9397-08002B2CF9AE}" pid="7" name="title">
    <vt:lpwstr>הצעת חוק התגמולים לנפגעי פעולות איבה (תיקון - פשע שנאה), התשע"ו-2015</vt:lpwstr>
  </property>
  <property fmtid="{D5CDD505-2E9C-101B-9397-08002B2CF9AE}" pid="8" name="SDAuthor">
    <vt:lpwstr>עדי דיק</vt:lpwstr>
  </property>
  <property fmtid="{D5CDD505-2E9C-101B-9397-08002B2CF9AE}" pid="9" name="SDDocDate">
    <vt:lpwstr>2015-11-02T07:40:07+02:00</vt:lpwstr>
  </property>
  <property fmtid="{D5CDD505-2E9C-101B-9397-08002B2CF9AE}" pid="10" name="LSITEMID">
    <vt:lpwstr>570556</vt:lpwstr>
  </property>
  <property fmtid="{D5CDD505-2E9C-101B-9397-08002B2CF9AE}" pid="11" name="LSSUBJECT">
    <vt:lpwstr>הצעת חוק התגמולים לנפגעי פעולות איבה (תיקון - פשע שנאה), התשע"ו-2015</vt:lpwstr>
  </property>
  <property fmtid="{D5CDD505-2E9C-101B-9397-08002B2CF9AE}" pid="12" name="LSKNESSETID">
    <vt:lpwstr>20</vt:lpwstr>
  </property>
  <property fmtid="{D5CDD505-2E9C-101B-9397-08002B2CF9AE}" pid="13" name="USNAME">
    <vt:lpwstr> </vt:lpwstr>
  </property>
  <property fmtid="{D5CDD505-2E9C-101B-9397-08002B2CF9AE}" pid="14" name="DTCOUNTER">
    <vt:lpwstr>848972</vt:lpwstr>
  </property>
  <property fmtid="{D5CDD505-2E9C-101B-9397-08002B2CF9AE}" pid="15" name="תאריך הנחה">
    <vt:lpwstr>11/23/2015</vt:lpwstr>
  </property>
  <property fmtid="{D5CDD505-2E9C-101B-9397-08002B2CF9AE}" pid="16" name="PLACE_DATE">
    <vt:lpwstr>23/11/2015 00:00:00</vt:lpwstr>
  </property>
  <property fmtid="{D5CDD505-2E9C-101B-9397-08002B2CF9AE}" pid="17" name="VAADA">
    <vt:lpwstr/>
  </property>
  <property fmtid="{D5CDD505-2E9C-101B-9397-08002B2CF9AE}" pid="18" name="YOZEMHATZAA_CHAKLIST">
    <vt:lpwstr>קארין אלהרר, אורי מקלב, משה גפני, מירב בן ארי, יעקב מרגי, מיקי רוזנטל, מיקי לוי, דוד ביטן, דוד אמסלם, רועי פולקמן, יעל גרמן, עיסאווי פריג'</vt:lpwstr>
  </property>
  <property fmtid="{D5CDD505-2E9C-101B-9397-08002B2CF9AE}" pid="19" name="YOZEMID">
    <vt:lpwstr>000023631, 000011835, 000000526, 000030102, 000001056, 000023569, 000023632, 000023558, 000023564, 000030084, 000023596, 000023652</vt:lpwstr>
  </property>
  <property fmtid="{D5CDD505-2E9C-101B-9397-08002B2CF9AE}" pid="20" name="PROPOSER">
    <vt:lpwstr/>
  </property>
  <property fmtid="{D5CDD505-2E9C-101B-9397-08002B2CF9AE}" pid="21" name="PROPOSERID">
    <vt:lpwstr/>
  </property>
  <property fmtid="{D5CDD505-2E9C-101B-9397-08002B2CF9AE}" pid="22" name="MISHATZAATCHOK">
    <vt:lpwstr>פ/2234/20</vt:lpwstr>
  </property>
</Properties>
</file>