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E29" w:rsidRPr="0000131B" w:rsidRDefault="004033D8" w:rsidP="00A443CF">
      <w:pPr>
        <w:pStyle w:val="HeadHatzaotHok"/>
        <w:jc w:val="right"/>
        <w:rPr>
          <w:b w:val="0"/>
          <w:bCs w:val="0"/>
          <w:szCs w:val="20"/>
        </w:rPr>
      </w:pPr>
      <w:bookmarkStart w:id="0" w:name="_GoBack"/>
      <w:bookmarkEnd w:id="0"/>
      <w:r w:rsidRPr="0000131B">
        <w:rPr>
          <w:b w:val="0"/>
          <w:bCs w:val="0"/>
          <w:szCs w:val="20"/>
          <w:rtl/>
        </w:rPr>
        <w:t xml:space="preserve">מספר פנימי: </w:t>
      </w:r>
      <w:bookmarkStart w:id="1" w:name="LGS_Internal_ID"/>
      <w:r>
        <w:rPr>
          <w:b w:val="0"/>
          <w:bCs w:val="0"/>
          <w:szCs w:val="20"/>
          <w:rtl/>
        </w:rPr>
        <w:t>563963</w:t>
      </w:r>
      <w:bookmarkEnd w:id="1"/>
    </w:p>
    <w:p w:rsidR="00E13C27" w:rsidRPr="00DB7060" w:rsidRDefault="00E13C27" w:rsidP="00A443CF">
      <w:pPr>
        <w:pStyle w:val="HeadHatzaotHok"/>
        <w:rPr>
          <w:sz w:val="28"/>
          <w:szCs w:val="28"/>
          <w:rtl/>
        </w:rPr>
      </w:pPr>
      <w:r w:rsidRPr="00DB7060">
        <w:rPr>
          <w:sz w:val="28"/>
          <w:szCs w:val="28"/>
          <w:rtl/>
        </w:rPr>
        <w:t xml:space="preserve">הכנסת </w:t>
      </w:r>
      <w:bookmarkStart w:id="2" w:name="LGS_Knesset_Num"/>
      <w:r>
        <w:rPr>
          <w:sz w:val="28"/>
          <w:szCs w:val="28"/>
          <w:rtl/>
        </w:rPr>
        <w:t>העשרים</w:t>
      </w:r>
      <w:bookmarkEnd w:id="2"/>
    </w:p>
    <w:p w:rsidR="00E13C27" w:rsidRPr="00F67051" w:rsidRDefault="00E13C27" w:rsidP="00E13C27">
      <w:pPr>
        <w:rPr>
          <w:rFonts w:cs="David"/>
          <w:b/>
          <w:bCs/>
          <w:sz w:val="26"/>
          <w:szCs w:val="26"/>
          <w:rtl/>
        </w:rPr>
      </w:pPr>
    </w:p>
    <w:p w:rsidR="00E13C27" w:rsidRDefault="008F6665" w:rsidP="00CF1AA2">
      <w:pPr>
        <w:pStyle w:val="David"/>
        <w:ind w:left="3544"/>
        <w:rPr>
          <w:b/>
          <w:bCs/>
          <w:rtl/>
        </w:rPr>
      </w:pPr>
      <w:bookmarkStart w:id="3" w:name="LGS_Initiators_List"/>
      <w:r>
        <w:rPr>
          <w:rFonts w:hint="cs"/>
          <w:b/>
          <w:bCs/>
          <w:rtl/>
        </w:rPr>
        <w:t>יוזם</w:t>
      </w:r>
      <w:r>
        <w:rPr>
          <w:b/>
          <w:bCs/>
          <w:rtl/>
        </w:rPr>
        <w:t>:</w:t>
      </w:r>
      <w:r>
        <w:tab/>
      </w:r>
      <w:r>
        <w:rPr>
          <w:b/>
          <w:bCs/>
          <w:rtl/>
        </w:rPr>
        <w:t xml:space="preserve">      </w:t>
      </w:r>
      <w:r>
        <w:rPr>
          <w:rFonts w:hint="cs"/>
          <w:b/>
          <w:bCs/>
          <w:rtl/>
        </w:rPr>
        <w:t>חבר</w:t>
      </w:r>
      <w:r>
        <w:rPr>
          <w:b/>
          <w:bCs/>
          <w:rtl/>
        </w:rPr>
        <w:t xml:space="preserve"> </w:t>
      </w:r>
      <w:r>
        <w:rPr>
          <w:rFonts w:hint="cs"/>
          <w:b/>
          <w:bCs/>
          <w:rtl/>
        </w:rPr>
        <w:t>הכנסת</w:t>
      </w:r>
      <w:bookmarkEnd w:id="3"/>
      <w:r w:rsidR="00B35784" w:rsidRPr="00F67051">
        <w:rPr>
          <w:b/>
          <w:bCs/>
        </w:rPr>
        <w:tab/>
      </w:r>
      <w:bookmarkStart w:id="4" w:name="LGS_PM_Names"/>
      <w:r>
        <w:rPr>
          <w:rFonts w:hint="cs"/>
          <w:b/>
          <w:bCs/>
          <w:rtl/>
        </w:rPr>
        <w:t>באסל</w:t>
      </w:r>
      <w:r>
        <w:rPr>
          <w:b/>
          <w:bCs/>
          <w:rtl/>
        </w:rPr>
        <w:t xml:space="preserve"> </w:t>
      </w:r>
      <w:r>
        <w:rPr>
          <w:rFonts w:hint="cs"/>
          <w:b/>
          <w:bCs/>
          <w:rtl/>
        </w:rPr>
        <w:t>גטאס</w:t>
      </w:r>
      <w:bookmarkEnd w:id="4"/>
    </w:p>
    <w:p w:rsidR="00E13C27" w:rsidRPr="00CF1AA2" w:rsidRDefault="007D585A" w:rsidP="00CF1AA2">
      <w:pPr>
        <w:pStyle w:val="David"/>
        <w:ind w:left="3544"/>
        <w:rPr>
          <w:b/>
          <w:bCs/>
          <w:rtl/>
        </w:rPr>
      </w:pPr>
      <w:bookmarkStart w:id="5" w:name="LGS_Join_List"/>
      <w:r>
        <w:rPr>
          <w:rtl/>
        </w:rPr>
        <w:t xml:space="preserve"> </w:t>
      </w:r>
      <w:bookmarkEnd w:id="5"/>
      <w:r w:rsidR="002200A1" w:rsidRPr="00CF1AA2">
        <w:rPr>
          <w:rtl/>
        </w:rPr>
        <w:tab/>
      </w:r>
      <w:bookmarkStart w:id="6" w:name="LGS_PM_NamesJoin"/>
      <w:r>
        <w:rPr>
          <w:rtl/>
        </w:rPr>
        <w:t xml:space="preserve"> </w:t>
      </w:r>
      <w:bookmarkEnd w:id="6"/>
    </w:p>
    <w:p w:rsidR="00E13C27" w:rsidRPr="00E06736" w:rsidRDefault="00312624" w:rsidP="00416B4D">
      <w:pPr>
        <w:pStyle w:val="David"/>
        <w:ind w:left="3544"/>
        <w:rPr>
          <w:rtl/>
        </w:rPr>
      </w:pP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1270</wp:posOffset>
                </wp:positionH>
                <wp:positionV relativeFrom="paragraph">
                  <wp:posOffset>47625</wp:posOffset>
                </wp:positionV>
                <wp:extent cx="3879215" cy="17145"/>
                <wp:effectExtent l="0" t="0" r="26035" b="20955"/>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463EA7" id="Freeform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mc:Fallback>
        </mc:AlternateContent>
      </w:r>
      <w:r w:rsidR="00E13C27" w:rsidRPr="00E06736">
        <w:rPr>
          <w:rtl/>
        </w:rPr>
        <w:tab/>
      </w:r>
      <w:r w:rsidR="00416B4D">
        <w:tab/>
      </w:r>
      <w:r w:rsidR="00FA5E88">
        <w:tab/>
      </w:r>
      <w:r w:rsidR="00E13C27" w:rsidRPr="00E06736">
        <w:rPr>
          <w:rtl/>
        </w:rPr>
        <w:tab/>
      </w:r>
      <w:r w:rsidR="00E06736" w:rsidRPr="00E06736">
        <w:tab/>
      </w:r>
      <w:bookmarkStart w:id="7" w:name="Private_Number"/>
      <w:r w:rsidR="0014195F">
        <w:rPr>
          <w:rFonts w:hint="cs"/>
          <w:rtl/>
        </w:rPr>
        <w:t>פ</w:t>
      </w:r>
      <w:r w:rsidR="0014195F">
        <w:rPr>
          <w:rtl/>
        </w:rPr>
        <w:t>/1696/20</w:t>
      </w:r>
      <w:bookmarkEnd w:id="7"/>
      <w:r w:rsidR="00E13C27" w:rsidRPr="00E06736">
        <w:rPr>
          <w:rtl/>
        </w:rPr>
        <w:tab/>
      </w:r>
      <w:r w:rsidR="00E13C27" w:rsidRPr="00E06736">
        <w:rPr>
          <w:rtl/>
        </w:rPr>
        <w:tab/>
      </w:r>
      <w:r w:rsidR="00E13C27" w:rsidRPr="00E06736">
        <w:rPr>
          <w:rtl/>
        </w:rPr>
        <w:tab/>
      </w:r>
    </w:p>
    <w:p w:rsidR="00E13C27" w:rsidRDefault="00E13C27" w:rsidP="00E13C27">
      <w:pPr>
        <w:spacing w:before="0" w:line="360" w:lineRule="auto"/>
        <w:ind w:left="2880" w:firstLine="720"/>
        <w:rPr>
          <w:rFonts w:cs="David"/>
          <w:sz w:val="26"/>
          <w:szCs w:val="26"/>
          <w:rtl/>
        </w:rPr>
      </w:pPr>
    </w:p>
    <w:p w:rsidR="002D74EC" w:rsidRDefault="00A443CF" w:rsidP="00767E24">
      <w:pPr>
        <w:pStyle w:val="HeadHatzaotHok"/>
        <w:rPr>
          <w:rtl/>
        </w:rPr>
      </w:pPr>
      <w:bookmarkStart w:id="8" w:name="LGS_Subject"/>
      <w:r>
        <w:rPr>
          <w:rtl/>
        </w:rPr>
        <w:t>הצעת חוק הביטוח הלאומי (תיקון – הכרה בפגיעה מתוך מניע גזעני בעבודה כתאונת עבודה), התשע"ה–2015</w:t>
      </w:r>
      <w:bookmarkEnd w:id="8"/>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4647"/>
      </w:tblGrid>
      <w:tr w:rsidR="00711293" w:rsidRPr="00711293" w:rsidTr="00846B6D">
        <w:trPr>
          <w:cantSplit/>
        </w:trPr>
        <w:tc>
          <w:tcPr>
            <w:tcW w:w="1871" w:type="dxa"/>
          </w:tcPr>
          <w:p w:rsidR="00711293" w:rsidRPr="00711293" w:rsidRDefault="00711293" w:rsidP="00711293">
            <w:pPr>
              <w:pStyle w:val="TableSideHeading"/>
              <w:ind w:right="0"/>
            </w:pPr>
            <w:r w:rsidRPr="00711293">
              <w:rPr>
                <w:rtl/>
              </w:rPr>
              <w:t>הוספת סעיף 84ב</w:t>
            </w:r>
          </w:p>
        </w:tc>
        <w:tc>
          <w:tcPr>
            <w:tcW w:w="624" w:type="dxa"/>
          </w:tcPr>
          <w:p w:rsidR="00711293" w:rsidRPr="00711293" w:rsidRDefault="00711293" w:rsidP="00711293">
            <w:pPr>
              <w:pStyle w:val="TableText"/>
              <w:ind w:right="0"/>
              <w:jc w:val="both"/>
            </w:pPr>
            <w:r w:rsidRPr="00711293">
              <w:rPr>
                <w:rtl/>
              </w:rPr>
              <w:t>1.</w:t>
            </w:r>
          </w:p>
        </w:tc>
        <w:tc>
          <w:tcPr>
            <w:tcW w:w="7143" w:type="dxa"/>
            <w:gridSpan w:val="5"/>
          </w:tcPr>
          <w:p w:rsidR="00711293" w:rsidRPr="00711293" w:rsidRDefault="00711293" w:rsidP="00CB4631">
            <w:pPr>
              <w:pStyle w:val="TableBlock"/>
            </w:pPr>
            <w:r w:rsidRPr="00711293">
              <w:rPr>
                <w:rtl/>
              </w:rPr>
              <w:t>בחוק הביטוח הלאומי [נוסח משולב], התשנ"ה–1995</w:t>
            </w:r>
            <w:r w:rsidR="00CB4631">
              <w:rPr>
                <w:rStyle w:val="FootnoteReference"/>
                <w:rFonts w:cs="David"/>
                <w:rtl/>
              </w:rPr>
              <w:footnoteReference w:id="2"/>
            </w:r>
            <w:r w:rsidRPr="00711293">
              <w:rPr>
                <w:rtl/>
              </w:rPr>
              <w:t xml:space="preserve"> (להלן – החוק העיקרי), אחרי סעיף 84א יבוא:</w:t>
            </w:r>
          </w:p>
        </w:tc>
      </w:tr>
      <w:tr w:rsidR="00711293" w:rsidRPr="00711293" w:rsidTr="00846B6D">
        <w:trPr>
          <w:cantSplit/>
        </w:trPr>
        <w:tc>
          <w:tcPr>
            <w:tcW w:w="1871" w:type="dxa"/>
          </w:tcPr>
          <w:p w:rsidR="00711293" w:rsidRPr="00711293" w:rsidRDefault="00711293" w:rsidP="00711293">
            <w:pPr>
              <w:pStyle w:val="TableSideHeading"/>
              <w:ind w:right="0"/>
            </w:pPr>
          </w:p>
        </w:tc>
        <w:tc>
          <w:tcPr>
            <w:tcW w:w="624" w:type="dxa"/>
          </w:tcPr>
          <w:p w:rsidR="00711293" w:rsidRPr="00711293" w:rsidRDefault="00711293" w:rsidP="00711293">
            <w:pPr>
              <w:pStyle w:val="TableText"/>
              <w:ind w:right="0"/>
              <w:jc w:val="both"/>
            </w:pPr>
          </w:p>
        </w:tc>
        <w:tc>
          <w:tcPr>
            <w:tcW w:w="1872" w:type="dxa"/>
            <w:gridSpan w:val="3"/>
          </w:tcPr>
          <w:p w:rsidR="00711293" w:rsidRPr="00711293" w:rsidRDefault="00711293" w:rsidP="00711293">
            <w:pPr>
              <w:pStyle w:val="TableInnerSideHeading"/>
              <w:ind w:right="0"/>
            </w:pPr>
            <w:r w:rsidRPr="00711293">
              <w:rPr>
                <w:rtl/>
              </w:rPr>
              <w:t>"פגיעה מתוך מניע של גזענות</w:t>
            </w:r>
          </w:p>
        </w:tc>
        <w:tc>
          <w:tcPr>
            <w:tcW w:w="624" w:type="dxa"/>
          </w:tcPr>
          <w:p w:rsidR="00711293" w:rsidRPr="00711293" w:rsidRDefault="00711293" w:rsidP="00711293">
            <w:pPr>
              <w:pStyle w:val="TableText"/>
              <w:ind w:right="0"/>
              <w:jc w:val="both"/>
            </w:pPr>
            <w:r w:rsidRPr="00711293">
              <w:rPr>
                <w:rtl/>
              </w:rPr>
              <w:t>84ב.</w:t>
            </w:r>
          </w:p>
        </w:tc>
        <w:tc>
          <w:tcPr>
            <w:tcW w:w="4647" w:type="dxa"/>
          </w:tcPr>
          <w:p w:rsidR="00711293" w:rsidRPr="00711293" w:rsidRDefault="00711293" w:rsidP="00711293">
            <w:pPr>
              <w:pStyle w:val="TableBlock"/>
            </w:pPr>
            <w:r w:rsidRPr="00711293">
              <w:rPr>
                <w:rtl/>
              </w:rPr>
              <w:t xml:space="preserve">פגיעה מתוך מניע של גזענות כלפי עובד, שאירעה תוך כדי עבודתו ועקב עבודתו אצל מעבידו או מטעמו, ובעובד עצמאי – תוך כדי עיסוקו במשלח ידו ועקב עיסוקו במשלח ידו, רואים אותה כפגיעה בעבודה; לעניין סעיף זה – </w:t>
            </w:r>
          </w:p>
        </w:tc>
      </w:tr>
      <w:tr w:rsidR="00711293" w:rsidRPr="00711293" w:rsidTr="00846B6D">
        <w:trPr>
          <w:cantSplit/>
        </w:trPr>
        <w:tc>
          <w:tcPr>
            <w:tcW w:w="1871" w:type="dxa"/>
          </w:tcPr>
          <w:p w:rsidR="00711293" w:rsidRPr="00711293" w:rsidRDefault="00711293" w:rsidP="00711293">
            <w:pPr>
              <w:pStyle w:val="TableSideHeading"/>
              <w:ind w:right="0"/>
            </w:pPr>
          </w:p>
        </w:tc>
        <w:tc>
          <w:tcPr>
            <w:tcW w:w="624" w:type="dxa"/>
          </w:tcPr>
          <w:p w:rsidR="00711293" w:rsidRPr="00711293" w:rsidRDefault="00711293" w:rsidP="00711293">
            <w:pPr>
              <w:pStyle w:val="TableText"/>
              <w:ind w:right="0"/>
              <w:jc w:val="both"/>
            </w:pPr>
          </w:p>
        </w:tc>
        <w:tc>
          <w:tcPr>
            <w:tcW w:w="624" w:type="dxa"/>
          </w:tcPr>
          <w:p w:rsidR="00711293" w:rsidRPr="00711293" w:rsidRDefault="00711293" w:rsidP="00711293">
            <w:pPr>
              <w:pStyle w:val="TableText"/>
              <w:ind w:right="0"/>
              <w:jc w:val="both"/>
            </w:pPr>
          </w:p>
        </w:tc>
        <w:tc>
          <w:tcPr>
            <w:tcW w:w="624" w:type="dxa"/>
          </w:tcPr>
          <w:p w:rsidR="00711293" w:rsidRPr="00711293" w:rsidRDefault="00711293" w:rsidP="00711293">
            <w:pPr>
              <w:pStyle w:val="TableText"/>
              <w:ind w:right="0"/>
              <w:jc w:val="both"/>
            </w:pPr>
          </w:p>
        </w:tc>
        <w:tc>
          <w:tcPr>
            <w:tcW w:w="624" w:type="dxa"/>
          </w:tcPr>
          <w:p w:rsidR="00711293" w:rsidRPr="00711293" w:rsidRDefault="00711293" w:rsidP="00711293">
            <w:pPr>
              <w:pStyle w:val="TableText"/>
              <w:ind w:right="0"/>
              <w:jc w:val="both"/>
            </w:pPr>
          </w:p>
        </w:tc>
        <w:tc>
          <w:tcPr>
            <w:tcW w:w="624" w:type="dxa"/>
          </w:tcPr>
          <w:p w:rsidR="00711293" w:rsidRPr="00711293" w:rsidRDefault="00711293" w:rsidP="00711293">
            <w:pPr>
              <w:pStyle w:val="TableText"/>
              <w:ind w:right="0"/>
              <w:jc w:val="both"/>
            </w:pPr>
          </w:p>
        </w:tc>
        <w:tc>
          <w:tcPr>
            <w:tcW w:w="4647" w:type="dxa"/>
          </w:tcPr>
          <w:p w:rsidR="00711293" w:rsidRPr="00711293" w:rsidRDefault="00711293" w:rsidP="00711293">
            <w:pPr>
              <w:pStyle w:val="TableBlockOutdent"/>
            </w:pPr>
            <w:r w:rsidRPr="00711293">
              <w:rPr>
                <w:rtl/>
              </w:rPr>
              <w:t xml:space="preserve">"פגיעה" – פגיעה בגוף, בחירות או ברכוש, לרבות איומים או סחיטה; </w:t>
            </w:r>
            <w:r w:rsidRPr="00711293">
              <w:t xml:space="preserve"> </w:t>
            </w:r>
          </w:p>
        </w:tc>
      </w:tr>
      <w:tr w:rsidR="00711293" w:rsidRPr="00711293" w:rsidTr="00846B6D">
        <w:trPr>
          <w:cantSplit/>
        </w:trPr>
        <w:tc>
          <w:tcPr>
            <w:tcW w:w="1871" w:type="dxa"/>
          </w:tcPr>
          <w:p w:rsidR="00711293" w:rsidRPr="00711293" w:rsidRDefault="00711293" w:rsidP="00711293">
            <w:pPr>
              <w:pStyle w:val="TableSideHeading"/>
              <w:ind w:right="0"/>
            </w:pPr>
          </w:p>
        </w:tc>
        <w:tc>
          <w:tcPr>
            <w:tcW w:w="624" w:type="dxa"/>
          </w:tcPr>
          <w:p w:rsidR="00711293" w:rsidRPr="00711293" w:rsidRDefault="00711293" w:rsidP="00711293">
            <w:pPr>
              <w:pStyle w:val="TableText"/>
              <w:ind w:right="0"/>
              <w:jc w:val="both"/>
            </w:pPr>
          </w:p>
        </w:tc>
        <w:tc>
          <w:tcPr>
            <w:tcW w:w="624" w:type="dxa"/>
          </w:tcPr>
          <w:p w:rsidR="00711293" w:rsidRPr="00711293" w:rsidRDefault="00711293" w:rsidP="00711293">
            <w:pPr>
              <w:pStyle w:val="TableText"/>
              <w:ind w:right="0"/>
              <w:jc w:val="both"/>
            </w:pPr>
          </w:p>
        </w:tc>
        <w:tc>
          <w:tcPr>
            <w:tcW w:w="624" w:type="dxa"/>
          </w:tcPr>
          <w:p w:rsidR="00711293" w:rsidRPr="00711293" w:rsidRDefault="00711293" w:rsidP="00711293">
            <w:pPr>
              <w:pStyle w:val="TableText"/>
              <w:ind w:right="0"/>
              <w:jc w:val="both"/>
            </w:pPr>
          </w:p>
        </w:tc>
        <w:tc>
          <w:tcPr>
            <w:tcW w:w="624" w:type="dxa"/>
          </w:tcPr>
          <w:p w:rsidR="00711293" w:rsidRPr="00711293" w:rsidRDefault="00711293" w:rsidP="00711293">
            <w:pPr>
              <w:pStyle w:val="TableText"/>
              <w:ind w:right="0"/>
              <w:jc w:val="both"/>
            </w:pPr>
          </w:p>
        </w:tc>
        <w:tc>
          <w:tcPr>
            <w:tcW w:w="624" w:type="dxa"/>
          </w:tcPr>
          <w:p w:rsidR="00711293" w:rsidRPr="00711293" w:rsidRDefault="00711293" w:rsidP="00711293">
            <w:pPr>
              <w:pStyle w:val="TableText"/>
              <w:ind w:right="0"/>
              <w:jc w:val="both"/>
            </w:pPr>
          </w:p>
        </w:tc>
        <w:tc>
          <w:tcPr>
            <w:tcW w:w="4647" w:type="dxa"/>
          </w:tcPr>
          <w:p w:rsidR="00711293" w:rsidRPr="00711293" w:rsidRDefault="00711293" w:rsidP="00CB4631">
            <w:pPr>
              <w:pStyle w:val="TableBlockOutdent"/>
              <w:rPr>
                <w:rtl/>
              </w:rPr>
            </w:pPr>
            <w:r w:rsidRPr="00711293">
              <w:rPr>
                <w:rtl/>
              </w:rPr>
              <w:t>"גזענות" – כהגדרתה בסעיף 144א לחוק העונשין, התשל"ז–1977</w:t>
            </w:r>
            <w:r w:rsidR="00CB4631">
              <w:rPr>
                <w:rStyle w:val="FootnoteReference"/>
                <w:rFonts w:cs="David"/>
                <w:rtl/>
              </w:rPr>
              <w:footnoteReference w:id="3"/>
            </w:r>
            <w:r w:rsidRPr="00711293">
              <w:rPr>
                <w:rtl/>
              </w:rPr>
              <w:t>, לרבות עוינות מחמת דת, השתייכות לקבוצה דתית, מוצא עדתי, נטייה מינית או בשל היותו של אדם עובד זר."</w:t>
            </w:r>
          </w:p>
        </w:tc>
      </w:tr>
      <w:tr w:rsidR="00711293" w:rsidRPr="00711293" w:rsidTr="00846B6D">
        <w:trPr>
          <w:cantSplit/>
        </w:trPr>
        <w:tc>
          <w:tcPr>
            <w:tcW w:w="1871" w:type="dxa"/>
          </w:tcPr>
          <w:p w:rsidR="00711293" w:rsidRPr="00711293" w:rsidRDefault="00711293" w:rsidP="00711293">
            <w:pPr>
              <w:pStyle w:val="TableSideHeading"/>
              <w:ind w:right="0"/>
            </w:pPr>
            <w:r w:rsidRPr="00711293">
              <w:rPr>
                <w:rtl/>
              </w:rPr>
              <w:t>תיקון סעיף 296</w:t>
            </w:r>
          </w:p>
        </w:tc>
        <w:tc>
          <w:tcPr>
            <w:tcW w:w="624" w:type="dxa"/>
          </w:tcPr>
          <w:p w:rsidR="00711293" w:rsidRPr="00711293" w:rsidRDefault="00711293" w:rsidP="00711293">
            <w:pPr>
              <w:pStyle w:val="TableText"/>
              <w:ind w:right="0"/>
              <w:jc w:val="both"/>
            </w:pPr>
            <w:r w:rsidRPr="00711293">
              <w:rPr>
                <w:rtl/>
              </w:rPr>
              <w:t>2.</w:t>
            </w:r>
          </w:p>
        </w:tc>
        <w:tc>
          <w:tcPr>
            <w:tcW w:w="7143" w:type="dxa"/>
            <w:gridSpan w:val="5"/>
          </w:tcPr>
          <w:p w:rsidR="00711293" w:rsidRPr="00711293" w:rsidRDefault="00711293" w:rsidP="00711293">
            <w:pPr>
              <w:pStyle w:val="TableBlock"/>
            </w:pPr>
            <w:r w:rsidRPr="00711293">
              <w:rPr>
                <w:rtl/>
              </w:rPr>
              <w:t>בסעיף 296 לחוק העיקרי, בסופו יבוא:</w:t>
            </w:r>
          </w:p>
        </w:tc>
      </w:tr>
      <w:tr w:rsidR="00711293" w:rsidRPr="00711293" w:rsidTr="00846B6D">
        <w:trPr>
          <w:cantSplit/>
        </w:trPr>
        <w:tc>
          <w:tcPr>
            <w:tcW w:w="1871" w:type="dxa"/>
          </w:tcPr>
          <w:p w:rsidR="00711293" w:rsidRPr="00711293" w:rsidRDefault="00711293" w:rsidP="00711293">
            <w:pPr>
              <w:pStyle w:val="TableSideHeading"/>
              <w:ind w:right="0"/>
            </w:pPr>
          </w:p>
        </w:tc>
        <w:tc>
          <w:tcPr>
            <w:tcW w:w="624" w:type="dxa"/>
          </w:tcPr>
          <w:p w:rsidR="00711293" w:rsidRPr="00711293" w:rsidRDefault="00711293" w:rsidP="00711293">
            <w:pPr>
              <w:pStyle w:val="TableText"/>
              <w:ind w:right="0"/>
              <w:jc w:val="both"/>
            </w:pPr>
          </w:p>
        </w:tc>
        <w:tc>
          <w:tcPr>
            <w:tcW w:w="7143" w:type="dxa"/>
            <w:gridSpan w:val="5"/>
          </w:tcPr>
          <w:p w:rsidR="00711293" w:rsidRPr="00711293" w:rsidRDefault="00711293" w:rsidP="00711293">
            <w:pPr>
              <w:pStyle w:val="TableBlock"/>
            </w:pPr>
            <w:r w:rsidRPr="00711293">
              <w:rPr>
                <w:rtl/>
              </w:rPr>
              <w:t>"(ד)</w:t>
            </w:r>
            <w:r w:rsidRPr="00711293">
              <w:rPr>
                <w:rtl/>
              </w:rPr>
              <w:tab/>
              <w:t xml:space="preserve">על  אף האמור בסעיף קטן (א), תביעה לגמלה בעילה לפי סעיף 84ב תוגש למוסד בתוך שלושים ושישה חודשים מהיום שבו נוצרה עילת התביעה." </w:t>
            </w:r>
          </w:p>
        </w:tc>
      </w:tr>
    </w:tbl>
    <w:p w:rsidR="002C2F20" w:rsidRDefault="002C2F20" w:rsidP="002C2F20">
      <w:pPr>
        <w:pStyle w:val="HeadDivreiHesber"/>
        <w:jc w:val="left"/>
        <w:rPr>
          <w:rtl/>
        </w:rPr>
      </w:pPr>
    </w:p>
    <w:p w:rsidR="002C2F20" w:rsidRDefault="002C2F20" w:rsidP="002D1EE3">
      <w:pPr>
        <w:pStyle w:val="HeadDivreiHesber"/>
        <w:rPr>
          <w:rtl/>
        </w:rPr>
      </w:pPr>
    </w:p>
    <w:p w:rsidR="002D1EE3" w:rsidRDefault="002D1EE3" w:rsidP="002D1EE3">
      <w:pPr>
        <w:pStyle w:val="HeadDivreiHesber"/>
        <w:rPr>
          <w:rtl/>
        </w:rPr>
      </w:pPr>
      <w:r w:rsidRPr="0027450A">
        <w:rPr>
          <w:rtl/>
        </w:rPr>
        <w:lastRenderedPageBreak/>
        <w:t>דברי הסבר</w:t>
      </w:r>
    </w:p>
    <w:p w:rsidR="0035021F" w:rsidRPr="004962A1" w:rsidRDefault="0035021F" w:rsidP="003027CF">
      <w:pPr>
        <w:pStyle w:val="Hesber"/>
        <w:rPr>
          <w:rtl/>
        </w:rPr>
      </w:pPr>
      <w:r>
        <w:rPr>
          <w:rtl/>
        </w:rPr>
        <w:t xml:space="preserve">הגזענות במדינת ישראל אינה תופעת טבע. אלימות </w:t>
      </w:r>
      <w:r w:rsidR="00D946D2">
        <w:rPr>
          <w:rtl/>
        </w:rPr>
        <w:t xml:space="preserve">שמקורה בגזענות </w:t>
      </w:r>
      <w:r>
        <w:rPr>
          <w:rtl/>
        </w:rPr>
        <w:t>היא בעיה חברתית</w:t>
      </w:r>
      <w:r w:rsidR="00D946D2">
        <w:rPr>
          <w:rtl/>
        </w:rPr>
        <w:t>, ומוטלת חובה</w:t>
      </w:r>
      <w:r>
        <w:rPr>
          <w:rtl/>
        </w:rPr>
        <w:t xml:space="preserve"> על המדינה לקחת אחריות על קורבנותיה. המציע סבור כי לעיתים מעשי אלימות אלה מתוך מניע גזעני על רקע לאום</w:t>
      </w:r>
      <w:r w:rsidR="00D946D2">
        <w:rPr>
          <w:rtl/>
        </w:rPr>
        <w:t>,</w:t>
      </w:r>
      <w:r>
        <w:rPr>
          <w:rtl/>
        </w:rPr>
        <w:t xml:space="preserve"> דת</w:t>
      </w:r>
      <w:r w:rsidR="00D946D2">
        <w:rPr>
          <w:rtl/>
        </w:rPr>
        <w:t>,</w:t>
      </w:r>
      <w:r>
        <w:rPr>
          <w:rtl/>
        </w:rPr>
        <w:t xml:space="preserve"> גזע ומין וכפי שמוגדרת גזענות בסעיף 144א לחוק העונשין, התשל"ז–1977, הביאו לפציעתם ואף לרציחתם של אנשים חפים מפשע, או לפגיעה נפשית קשה שאחריה הנפגעים עוברים תקופת הסתגרות ופחד ומפסיקים לצאת לעבודה. בשנים האחרונות המציע מזה</w:t>
      </w:r>
      <w:r w:rsidR="00D946D2">
        <w:rPr>
          <w:rtl/>
        </w:rPr>
        <w:t>ה</w:t>
      </w:r>
      <w:r>
        <w:rPr>
          <w:rtl/>
        </w:rPr>
        <w:t xml:space="preserve"> בחברה הישראלית הקצנה ברמת האלימות וההפליה בין קבוצות שונות בכלל ונגד האזרחים הערבים בפרט</w:t>
      </w:r>
      <w:r w:rsidR="004962A1">
        <w:rPr>
          <w:rtl/>
        </w:rPr>
        <w:t>,</w:t>
      </w:r>
      <w:r>
        <w:rPr>
          <w:rtl/>
        </w:rPr>
        <w:t xml:space="preserve"> כאשר מגמת העלייה </w:t>
      </w:r>
      <w:r w:rsidR="004962A1">
        <w:rPr>
          <w:rtl/>
        </w:rPr>
        <w:t xml:space="preserve">באירועים על רקע גזעני </w:t>
      </w:r>
      <w:r>
        <w:rPr>
          <w:rtl/>
        </w:rPr>
        <w:t>והתגברותה במדינת ישראל מתבטא</w:t>
      </w:r>
      <w:r w:rsidR="00D946D2">
        <w:rPr>
          <w:rtl/>
        </w:rPr>
        <w:t>ים</w:t>
      </w:r>
      <w:r>
        <w:rPr>
          <w:rtl/>
        </w:rPr>
        <w:t xml:space="preserve"> במערכת החינוך, בתרבות, ברחוב ואף בחקיקה ובהסתה מתמשכת מאנשי </w:t>
      </w:r>
      <w:r w:rsidRPr="004962A1">
        <w:rPr>
          <w:rtl/>
        </w:rPr>
        <w:t>ציבור וכלי תקשורת. לפי הדוח השנתי של המטה נגד גזענות לשנת 2013, מופנית אצבע מאשימה כלפי הכנסת ה</w:t>
      </w:r>
      <w:r w:rsidR="003027CF">
        <w:rPr>
          <w:rtl/>
        </w:rPr>
        <w:t xml:space="preserve">שמונה-עשרה </w:t>
      </w:r>
      <w:r w:rsidRPr="004962A1">
        <w:rPr>
          <w:rtl/>
        </w:rPr>
        <w:t>אשר ה</w:t>
      </w:r>
      <w:r w:rsidR="00D946D2" w:rsidRPr="004962A1">
        <w:rPr>
          <w:rtl/>
        </w:rPr>
        <w:t>י</w:t>
      </w:r>
      <w:r w:rsidRPr="004962A1">
        <w:rPr>
          <w:rtl/>
        </w:rPr>
        <w:t xml:space="preserve">יתה, לדבריהם, הכנסת הגזענית ביותר בתולדות המדינה וזאת בשל עשרות הצעות חוק אנטי דמוקרטיות אשר לדבריהם הוגשו בה, אשר </w:t>
      </w:r>
      <w:r w:rsidR="004962A1" w:rsidRPr="004962A1">
        <w:rPr>
          <w:rtl/>
        </w:rPr>
        <w:t>הופנו</w:t>
      </w:r>
      <w:r w:rsidRPr="004962A1">
        <w:rPr>
          <w:rtl/>
        </w:rPr>
        <w:t xml:space="preserve"> בעיקר נגד האזרחים הערבים בישראל, מהגרי העבודה ומבקשי המקלט. עוד נחקקו בכנסת זו חוקים אשר מגבילים, לדעתם, את מרחב העשייה של הארגונים לזכויות אדם. לפי הדוח עולה </w:t>
      </w:r>
      <w:r w:rsidR="00AB7BF3" w:rsidRPr="004962A1">
        <w:rPr>
          <w:rtl/>
        </w:rPr>
        <w:t>כי</w:t>
      </w:r>
      <w:r w:rsidR="004962A1" w:rsidRPr="004962A1">
        <w:rPr>
          <w:rtl/>
        </w:rPr>
        <w:t xml:space="preserve"> </w:t>
      </w:r>
      <w:r w:rsidRPr="004962A1">
        <w:rPr>
          <w:rtl/>
        </w:rPr>
        <w:t xml:space="preserve">מספר מקרי ההסתה המתועדים בתקשורת עלה </w:t>
      </w:r>
      <w:r w:rsidR="004962A1" w:rsidRPr="004962A1">
        <w:rPr>
          <w:rtl/>
        </w:rPr>
        <w:t>בין השנים 2013-2014</w:t>
      </w:r>
      <w:r w:rsidRPr="004962A1">
        <w:rPr>
          <w:rtl/>
        </w:rPr>
        <w:t xml:space="preserve"> מ-59 ל-106, כאשר החלק העיקרי שבהם הם מקרי הסתה כלפי הציבור הערבי. </w:t>
      </w:r>
      <w:r w:rsidR="004962A1" w:rsidRPr="004962A1">
        <w:rPr>
          <w:rtl/>
        </w:rPr>
        <w:t>כמו כן,</w:t>
      </w:r>
      <w:r w:rsidRPr="004962A1">
        <w:rPr>
          <w:rtl/>
        </w:rPr>
        <w:t xml:space="preserve"> היינו עדים לשורה של מקרי תקיפה גזענית של אזרחים ערבים בידי אזרחים יהודים, אשר אירע</w:t>
      </w:r>
      <w:r w:rsidR="004962A1" w:rsidRPr="004962A1">
        <w:rPr>
          <w:rtl/>
        </w:rPr>
        <w:t>ו</w:t>
      </w:r>
      <w:r w:rsidRPr="004962A1">
        <w:rPr>
          <w:rtl/>
        </w:rPr>
        <w:t xml:space="preserve"> על רקע אותה אווירה ציבורית של הסתה.</w:t>
      </w:r>
      <w:r w:rsidR="00E222F1">
        <w:rPr>
          <w:rtl/>
        </w:rPr>
        <w:t xml:space="preserve"> דוגמא למקרה מעין זה הוא אי</w:t>
      </w:r>
      <w:r w:rsidRPr="004962A1">
        <w:rPr>
          <w:rtl/>
        </w:rPr>
        <w:t>רוע אלימות על רקע גזעני של צעיר ערבי אשר עבד כמלצר במסעדה בצפון תל אביב והותקף בברוטאליות על ידי קבוצת לקוחות; האירוע תועד במצלמות האבטחה. העובד אושפז בבית החולים בעקבות פצעיו, ו</w:t>
      </w:r>
      <w:r w:rsidR="00E222F1">
        <w:rPr>
          <w:rtl/>
        </w:rPr>
        <w:t xml:space="preserve">אף </w:t>
      </w:r>
      <w:r w:rsidRPr="004962A1">
        <w:rPr>
          <w:rtl/>
        </w:rPr>
        <w:t>סבל ממצב נפשי קשה, פחד והסתגרות. הוא נעדר מעבודתו בגלל אשפוזו וימי החלמתו וי</w:t>
      </w:r>
      <w:r w:rsidR="003027CF">
        <w:rPr>
          <w:rtl/>
        </w:rPr>
        <w:t>י</w:t>
      </w:r>
      <w:r w:rsidRPr="004962A1">
        <w:rPr>
          <w:rtl/>
        </w:rPr>
        <w:t xml:space="preserve">תכן גם עקב סבל נפשי, דבר שעלול לפגוע בהכנסתו ממקום עבודתו ואף לאובדן מקום העבודה. </w:t>
      </w:r>
    </w:p>
    <w:p w:rsidR="0035021F" w:rsidRPr="004962A1" w:rsidRDefault="0035021F" w:rsidP="000C0400">
      <w:pPr>
        <w:pStyle w:val="Hesber"/>
        <w:rPr>
          <w:rtl/>
        </w:rPr>
      </w:pPr>
      <w:r w:rsidRPr="004962A1">
        <w:rPr>
          <w:rtl/>
        </w:rPr>
        <w:t>מוצע להגדיר מהי פגיעה מתוך מניע של גזענות בעבודה ולקבוע אותה כפגיעה נפרדת ועצמאית וזאת בהגדרת פגיעה בעבודה שבפרק ה' סימן ב' לחוק הביטוח הלאומי [נוסח משולב], התשנ"ה–1995 (להלן – חוק הביטוח הלאומי). התיקון בא להגן על הערכים המוכרים בזכויות היסוד של האדם: כבוד האדם, פרטיותו, חירותו, שוויון בין האזרחים וקידום זכויות העובדים בישראל. ערכים אלה יהיו נר לרגליו של בית המשפט בבואו לפרש את הוראות החוק המוצעות. פגיעה מתוך מניע גזעני לא רק פוגעת בכבודו העצמי והחברתי של הנפגע, אלא פוגעת בזהותו האישית ובקבוצה הלאומית או הדתית שהוא שייך אליה. מטרת התיקון היא להגן על העובד ולאפשר ביטחון סוציאלי לנפגע, במקרה בו נגרם נזק ובמצב בו</w:t>
      </w:r>
      <w:r w:rsidR="004962A1" w:rsidRPr="004962A1">
        <w:rPr>
          <w:rtl/>
        </w:rPr>
        <w:t xml:space="preserve"> הוא</w:t>
      </w:r>
      <w:r w:rsidRPr="004962A1">
        <w:rPr>
          <w:rtl/>
        </w:rPr>
        <w:t xml:space="preserve"> אינו מסוגל לשוב לאורח חיים תקין בשל הפגיעה.</w:t>
      </w:r>
    </w:p>
    <w:p w:rsidR="0035021F" w:rsidRPr="004962A1" w:rsidRDefault="0035021F" w:rsidP="0035021F">
      <w:pPr>
        <w:pStyle w:val="Hesber"/>
        <w:rPr>
          <w:rtl/>
        </w:rPr>
      </w:pPr>
      <w:r w:rsidRPr="004962A1">
        <w:rPr>
          <w:rtl/>
        </w:rPr>
        <w:t>בחוק הביטוח הלאומי קיימות חזקות רבות לעניין הכרה בתאונת עבודה כתוצאה מנזקים שונים. כך למשל, פגיעות גב ושמע מוכרות כפגיעה בעבודה לצורכי קבלת גמלה מהמוסד לביטוח הלאומי. באופן דומה יש לקבוע בחוק הוראה מפורשת לעניין ההכרה בפגיעה גזענית בעבודה.</w:t>
      </w:r>
    </w:p>
    <w:p w:rsidR="0035021F" w:rsidRPr="004962A1" w:rsidRDefault="0035021F" w:rsidP="003027CF">
      <w:pPr>
        <w:pStyle w:val="Hesber"/>
        <w:rPr>
          <w:rtl/>
        </w:rPr>
      </w:pPr>
      <w:r w:rsidRPr="004962A1">
        <w:rPr>
          <w:rtl/>
        </w:rPr>
        <w:t xml:space="preserve">המציאות המשפטית היום </w:t>
      </w:r>
      <w:r w:rsidR="000C0400" w:rsidRPr="004962A1">
        <w:rPr>
          <w:rtl/>
        </w:rPr>
        <w:t>לפיה נדרש</w:t>
      </w:r>
      <w:r w:rsidRPr="004962A1">
        <w:rPr>
          <w:rtl/>
        </w:rPr>
        <w:t xml:space="preserve"> כי כתב</w:t>
      </w:r>
      <w:r w:rsidR="000C0400" w:rsidRPr="004962A1">
        <w:rPr>
          <w:rtl/>
        </w:rPr>
        <w:t>י</w:t>
      </w:r>
      <w:r w:rsidRPr="004962A1">
        <w:rPr>
          <w:rtl/>
        </w:rPr>
        <w:t xml:space="preserve"> אישום בעבירות ההסתה לגזענות יוגש</w:t>
      </w:r>
      <w:r w:rsidR="000C0400" w:rsidRPr="004962A1">
        <w:rPr>
          <w:rtl/>
        </w:rPr>
        <w:t>ו</w:t>
      </w:r>
      <w:r w:rsidRPr="004962A1">
        <w:rPr>
          <w:rtl/>
        </w:rPr>
        <w:t xml:space="preserve"> באישור היועץ המשפטי לממשלה והדרישה להוכחת יסוד נפשי של כוונה להסתה לגזענות</w:t>
      </w:r>
      <w:r w:rsidR="00D0232F" w:rsidRPr="004962A1">
        <w:rPr>
          <w:rtl/>
        </w:rPr>
        <w:t>, מציב</w:t>
      </w:r>
      <w:r w:rsidR="003027CF">
        <w:rPr>
          <w:rtl/>
        </w:rPr>
        <w:t>ות</w:t>
      </w:r>
      <w:r w:rsidRPr="004962A1">
        <w:rPr>
          <w:rtl/>
        </w:rPr>
        <w:t xml:space="preserve"> מכשלה משמעותית בפני הפיכת הוראות חוק העונשין לכלי יעיל למניעת גילויי גזענות. מוצע בהצעת החוק להרחיב את הכלים המשפטיים להתמודדות עם גילויי הגזענות בישראל, וזאת בעיקר באמצעות הוספת מסלול לתובענות אזרחיות של יחידים אשר נפגעו מגילויי גזענות בעבודה</w:t>
      </w:r>
      <w:r w:rsidR="00D0232F" w:rsidRPr="004962A1">
        <w:rPr>
          <w:rtl/>
        </w:rPr>
        <w:t>.</w:t>
      </w:r>
      <w:r w:rsidRPr="004962A1">
        <w:rPr>
          <w:rtl/>
        </w:rPr>
        <w:t xml:space="preserve"> תכלית החוק היא לשמור על האפשרות לפתוח </w:t>
      </w:r>
      <w:r w:rsidRPr="004962A1">
        <w:rPr>
          <w:rtl/>
        </w:rPr>
        <w:lastRenderedPageBreak/>
        <w:t>בהליכים פליליים נגד המבצע עבירות בניגוד להוראות החוק, בכפוף לאישור היועץ המשפטי לממשלה, אך גם להעניק אפשרות למעורבות אזרחית במניעת גילויי גזענות במקומות עבודה, במיוחד מצד יחידים וקבוצות הסובלים מגילויים אלה.</w:t>
      </w:r>
    </w:p>
    <w:p w:rsidR="0035021F" w:rsidRPr="004962A1" w:rsidRDefault="0035021F" w:rsidP="0035021F">
      <w:pPr>
        <w:pStyle w:val="Hesber"/>
        <w:rPr>
          <w:rtl/>
        </w:rPr>
      </w:pPr>
      <w:r w:rsidRPr="004962A1">
        <w:rPr>
          <w:rtl/>
        </w:rPr>
        <w:t>בנוסף, עד היום נקט המוסד לביטוח לאומי במדיניות לפיה דמי פגיעה לרוב משולמים בגין פגיעות פיסיות שהתרחשו במקום העבודה. עם זאת, הוכרו לא פעם סוגים מסוימים של תאונות עבודה שאינן נופלות בגדר פגיעה פיסית ישירה אבל למוסד לביטוח לאומי אין מדיניות סדורה בנושא או הנחיות פנימיות לבחינת הציבור הרחב ולביקורת מ</w:t>
      </w:r>
      <w:r w:rsidR="003027CF">
        <w:rPr>
          <w:rtl/>
        </w:rPr>
        <w:t>י</w:t>
      </w:r>
      <w:r w:rsidRPr="004962A1">
        <w:rPr>
          <w:rtl/>
        </w:rPr>
        <w:t>נהלית. לפיכך, יש מקום לקבוע בחוק מפורש את מדיניות המוסד על מנת לאפשר שקיפות לציבור ובקרה על פעילות המוסד.</w:t>
      </w:r>
    </w:p>
    <w:p w:rsidR="0035021F" w:rsidRPr="004962A1" w:rsidRDefault="0035021F" w:rsidP="0035021F">
      <w:pPr>
        <w:pStyle w:val="Hesber"/>
        <w:rPr>
          <w:rtl/>
        </w:rPr>
      </w:pPr>
      <w:r w:rsidRPr="004962A1">
        <w:rPr>
          <w:rtl/>
        </w:rPr>
        <w:t>לפיכך מוצע כי פגיעה מתוך מניע גזעני שנעשתה במסגרת יחסי העבודה, כלומר תוך כדי עבודה ועקב העבודה, יראו אותה כתאונת עבודה.</w:t>
      </w:r>
    </w:p>
    <w:p w:rsidR="00E13C27" w:rsidRPr="004962A1" w:rsidRDefault="0035021F" w:rsidP="003027CF">
      <w:pPr>
        <w:pStyle w:val="Hesber"/>
        <w:rPr>
          <w:rtl/>
        </w:rPr>
      </w:pPr>
      <w:r w:rsidRPr="004962A1">
        <w:rPr>
          <w:rtl/>
        </w:rPr>
        <w:t>בנוסף</w:t>
      </w:r>
      <w:r w:rsidR="00E222F1">
        <w:rPr>
          <w:rtl/>
        </w:rPr>
        <w:t>,</w:t>
      </w:r>
      <w:r w:rsidRPr="004962A1">
        <w:rPr>
          <w:rtl/>
        </w:rPr>
        <w:t xml:space="preserve"> מוצע להאריך את תקופת ההתיישנות, לעניין פגיעה</w:t>
      </w:r>
      <w:r w:rsidR="001F4EF4" w:rsidRPr="004962A1">
        <w:rPr>
          <w:rtl/>
        </w:rPr>
        <w:t xml:space="preserve"> בעבודה מתוך מניע של גזענות</w:t>
      </w:r>
      <w:r w:rsidRPr="004962A1">
        <w:rPr>
          <w:rtl/>
        </w:rPr>
        <w:t xml:space="preserve">, ל-36 חודשים. מטרת הארכת תקופת ההתיישנות, מ-12 חודשים ל-36 חודשים, היא לאפשר לנפגע פרק זמן ארוך יותר, בשל המודעות לקושי בהתמודדות הנפשית ובהגשת תביעות בפגיעות מסוג זה. בנוסף, ייתכן </w:t>
      </w:r>
      <w:r w:rsidR="003027CF">
        <w:rPr>
          <w:rtl/>
        </w:rPr>
        <w:t>ש</w:t>
      </w:r>
      <w:r w:rsidRPr="004962A1">
        <w:rPr>
          <w:rtl/>
        </w:rPr>
        <w:t xml:space="preserve">הנזק הנפשי שנגרם לנפגע יצטבר ועילת התביעה תתגבש </w:t>
      </w:r>
      <w:r w:rsidR="00D0232F" w:rsidRPr="004962A1">
        <w:rPr>
          <w:rtl/>
        </w:rPr>
        <w:t xml:space="preserve">רק </w:t>
      </w:r>
      <w:r w:rsidRPr="004962A1">
        <w:rPr>
          <w:rtl/>
        </w:rPr>
        <w:t>מספר שנים לאחר האירוע המזיק.</w:t>
      </w:r>
    </w:p>
    <w:p w:rsidR="00F82B8C" w:rsidRDefault="00F82B8C" w:rsidP="0035021F">
      <w:pPr>
        <w:pStyle w:val="Hesber"/>
        <w:rPr>
          <w:rtl/>
        </w:rPr>
      </w:pPr>
      <w:r w:rsidRPr="004962A1">
        <w:rPr>
          <w:rtl/>
        </w:rPr>
        <w:t>הצעת חוק זהה הונחה על שולחן הכנסת התשע-עשרה על ידי חבר הכנסת באסל גטאס וקבוצת חברי הכנסת (פ/1357/19).</w:t>
      </w:r>
    </w:p>
    <w:p w:rsidR="003027CF" w:rsidRDefault="003027CF" w:rsidP="0035021F">
      <w:pPr>
        <w:pStyle w:val="Hesber"/>
        <w:rPr>
          <w:rtl/>
        </w:rPr>
      </w:pPr>
    </w:p>
    <w:p w:rsidR="003027CF" w:rsidRDefault="003027CF" w:rsidP="0035021F">
      <w:pPr>
        <w:pStyle w:val="Hesber"/>
        <w:rPr>
          <w:rtl/>
        </w:rPr>
      </w:pPr>
    </w:p>
    <w:p w:rsidR="003027CF" w:rsidRDefault="003027CF" w:rsidP="0035021F">
      <w:pPr>
        <w:pStyle w:val="Hesber"/>
        <w:rPr>
          <w:rtl/>
        </w:rPr>
      </w:pPr>
    </w:p>
    <w:p w:rsidR="003027CF" w:rsidRPr="00557D2C" w:rsidRDefault="003027CF" w:rsidP="007D273A">
      <w:pPr>
        <w:pStyle w:val="Hesber"/>
        <w:rPr>
          <w:rtl/>
        </w:rPr>
      </w:pPr>
      <w:r w:rsidRPr="00557D2C">
        <w:rPr>
          <w:rtl/>
        </w:rPr>
        <w:t>---------------------------------</w:t>
      </w:r>
    </w:p>
    <w:p w:rsidR="003027CF" w:rsidRPr="00557D2C" w:rsidRDefault="003027CF" w:rsidP="007D273A">
      <w:pPr>
        <w:pStyle w:val="Hesber"/>
        <w:rPr>
          <w:rtl/>
        </w:rPr>
      </w:pPr>
      <w:r w:rsidRPr="00557D2C">
        <w:rPr>
          <w:rtl/>
        </w:rPr>
        <w:t>הוגשה ליו"ר הכנסת והסגנים</w:t>
      </w:r>
    </w:p>
    <w:p w:rsidR="003027CF" w:rsidRPr="00557D2C" w:rsidRDefault="003027CF" w:rsidP="007D273A">
      <w:pPr>
        <w:pStyle w:val="Hesber"/>
        <w:rPr>
          <w:rtl/>
        </w:rPr>
      </w:pPr>
      <w:r w:rsidRPr="00557D2C">
        <w:rPr>
          <w:rtl/>
        </w:rPr>
        <w:t>והונחה על שולחן הכנסת ביום</w:t>
      </w:r>
    </w:p>
    <w:p w:rsidR="003027CF" w:rsidRDefault="003027CF" w:rsidP="003027CF">
      <w:pPr>
        <w:pStyle w:val="Hesber"/>
        <w:rPr>
          <w:rtl/>
        </w:rPr>
      </w:pPr>
      <w:r>
        <w:rPr>
          <w:rtl/>
        </w:rPr>
        <w:t>כ"ו</w:t>
      </w:r>
      <w:r w:rsidRPr="00557D2C">
        <w:rPr>
          <w:rtl/>
        </w:rPr>
        <w:t xml:space="preserve"> </w:t>
      </w:r>
      <w:r>
        <w:rPr>
          <w:rtl/>
        </w:rPr>
        <w:t xml:space="preserve">בתמוז </w:t>
      </w:r>
      <w:r w:rsidRPr="00557D2C">
        <w:rPr>
          <w:rtl/>
        </w:rPr>
        <w:t>התשע"ה –</w:t>
      </w:r>
      <w:r>
        <w:rPr>
          <w:rtl/>
        </w:rPr>
        <w:t xml:space="preserve"> 13.7.15</w:t>
      </w:r>
    </w:p>
    <w:sectPr w:rsidR="003027CF"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CC1" w:rsidRDefault="00B41CC1">
      <w:r>
        <w:separator/>
      </w:r>
    </w:p>
  </w:endnote>
  <w:endnote w:type="continuationSeparator" w:id="0">
    <w:p w:rsidR="00B41CC1" w:rsidRDefault="00B4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623" w:rsidRDefault="001A0623" w:rsidP="001207F8">
    <w:pPr>
      <w:pStyle w:val="Footer"/>
      <w:framePr w:wrap="around" w:vAnchor="text" w:hAnchor="text" w:xAlign="center" w:y="1"/>
      <w:rPr>
        <w:rStyle w:val="PageNumber"/>
        <w:rFonts w:cs="Hadasa Roso SL"/>
      </w:rPr>
    </w:pPr>
    <w:r>
      <w:rPr>
        <w:rStyle w:val="PageNumber"/>
        <w:rFonts w:cs="Hadasa Roso SL"/>
      </w:rPr>
      <w:fldChar w:fldCharType="begin"/>
    </w:r>
    <w:r>
      <w:rPr>
        <w:rStyle w:val="PageNumber"/>
        <w:rFonts w:cs="Hadasa Roso SL"/>
      </w:rPr>
      <w:instrText xml:space="preserve">PAGE  </w:instrText>
    </w:r>
    <w:r>
      <w:rPr>
        <w:rStyle w:val="PageNumber"/>
        <w:rFonts w:cs="Hadasa Roso SL"/>
      </w:rPr>
      <w:fldChar w:fldCharType="end"/>
    </w:r>
  </w:p>
  <w:p w:rsidR="001A0623" w:rsidRDefault="001A0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623" w:rsidRDefault="001A0623" w:rsidP="001207F8">
    <w:pPr>
      <w:pStyle w:val="Footer"/>
      <w:framePr w:wrap="around" w:vAnchor="text" w:hAnchor="text" w:xAlign="center" w:y="1"/>
      <w:rPr>
        <w:rStyle w:val="PageNumber"/>
        <w:rFonts w:cs="Hadasa Roso SL"/>
      </w:rPr>
    </w:pPr>
    <w:r>
      <w:rPr>
        <w:rStyle w:val="PageNumber"/>
        <w:rFonts w:cs="Hadasa Roso SL"/>
      </w:rPr>
      <w:fldChar w:fldCharType="begin"/>
    </w:r>
    <w:r>
      <w:rPr>
        <w:rStyle w:val="PageNumber"/>
        <w:rFonts w:cs="Hadasa Roso SL"/>
      </w:rPr>
      <w:instrText xml:space="preserve">PAGE  </w:instrText>
    </w:r>
    <w:r>
      <w:rPr>
        <w:rStyle w:val="PageNumber"/>
        <w:rFonts w:cs="Hadasa Roso SL"/>
      </w:rPr>
      <w:fldChar w:fldCharType="separate"/>
    </w:r>
    <w:r w:rsidR="00312624">
      <w:rPr>
        <w:rStyle w:val="PageNumber"/>
        <w:noProof/>
        <w:rtl/>
      </w:rPr>
      <w:t>3</w:t>
    </w:r>
    <w:r>
      <w:rPr>
        <w:rStyle w:val="PageNumber"/>
        <w:rFonts w:cs="Hadasa Roso SL"/>
      </w:rPr>
      <w:fldChar w:fldCharType="end"/>
    </w:r>
  </w:p>
  <w:p w:rsidR="001A0623" w:rsidRDefault="001A0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CC1" w:rsidRDefault="00B41CC1">
      <w:r>
        <w:separator/>
      </w:r>
    </w:p>
  </w:footnote>
  <w:footnote w:type="continuationSeparator" w:id="0">
    <w:p w:rsidR="00B41CC1" w:rsidRDefault="00B41CC1">
      <w:r>
        <w:continuationSeparator/>
      </w:r>
    </w:p>
  </w:footnote>
  <w:footnote w:type="continuationNotice" w:id="1">
    <w:p w:rsidR="00B41CC1" w:rsidRDefault="00B41CC1"/>
  </w:footnote>
  <w:footnote w:id="2">
    <w:p w:rsidR="00000000" w:rsidRDefault="00CB4631">
      <w:pPr>
        <w:pStyle w:val="FootnoteText"/>
      </w:pPr>
      <w:r>
        <w:rPr>
          <w:rStyle w:val="FootnoteReference"/>
          <w:rFonts w:cs="David"/>
        </w:rPr>
        <w:footnoteRef/>
      </w:r>
      <w:r>
        <w:rPr>
          <w:rtl/>
        </w:rPr>
        <w:t xml:space="preserve"> </w:t>
      </w:r>
      <w:r>
        <w:rPr>
          <w:sz w:val="20"/>
          <w:rtl/>
        </w:rPr>
        <w:t>ס"ח התשנ"ה, עמ' 210.</w:t>
      </w:r>
    </w:p>
  </w:footnote>
  <w:footnote w:id="3">
    <w:p w:rsidR="00000000" w:rsidRDefault="00CB4631">
      <w:pPr>
        <w:pStyle w:val="FootnoteText"/>
      </w:pPr>
      <w:r>
        <w:rPr>
          <w:rStyle w:val="FootnoteReference"/>
          <w:rFonts w:cs="David"/>
        </w:rPr>
        <w:footnoteRef/>
      </w:r>
      <w:r>
        <w:rPr>
          <w:rtl/>
        </w:rPr>
        <w:t xml:space="preserve"> ס"ח התשל"ז, עמ' 226.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pPr>
      <w:rPr>
        <w:rFonts w:cs="Times New Roman" w:hint="default"/>
      </w:rPr>
    </w:lvl>
    <w:lvl w:ilvl="1" w:tplc="49082BE6">
      <w:start w:val="1"/>
      <w:numFmt w:val="decimal"/>
      <w:lvlRestart w:val="0"/>
      <w:lvlText w:val="(%2)"/>
      <w:lvlJc w:val="left"/>
      <w:pPr>
        <w:tabs>
          <w:tab w:val="num" w:pos="1704"/>
        </w:tabs>
        <w:ind w:left="1080"/>
      </w:pPr>
      <w:rPr>
        <w:rFonts w:cs="Times New Roman" w:hint="default"/>
      </w:rPr>
    </w:lvl>
    <w:lvl w:ilvl="2" w:tplc="48C06176">
      <w:start w:val="1"/>
      <w:numFmt w:val="decimal"/>
      <w:lvlRestart w:val="0"/>
      <w:lvlText w:val="(%3)"/>
      <w:lvlJc w:val="left"/>
      <w:pPr>
        <w:tabs>
          <w:tab w:val="num" w:pos="2604"/>
        </w:tabs>
        <w:ind w:left="19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7681A"/>
    <w:rsid w:val="000A542E"/>
    <w:rsid w:val="000C0400"/>
    <w:rsid w:val="00102B6B"/>
    <w:rsid w:val="001052D4"/>
    <w:rsid w:val="0010644B"/>
    <w:rsid w:val="001207F8"/>
    <w:rsid w:val="00121924"/>
    <w:rsid w:val="001279A8"/>
    <w:rsid w:val="0014195F"/>
    <w:rsid w:val="00152609"/>
    <w:rsid w:val="00153E1B"/>
    <w:rsid w:val="001A0623"/>
    <w:rsid w:val="001C23B0"/>
    <w:rsid w:val="001F4EF4"/>
    <w:rsid w:val="00203A7F"/>
    <w:rsid w:val="002200A1"/>
    <w:rsid w:val="002362BF"/>
    <w:rsid w:val="00241B97"/>
    <w:rsid w:val="00246756"/>
    <w:rsid w:val="00251E58"/>
    <w:rsid w:val="00254605"/>
    <w:rsid w:val="002728B4"/>
    <w:rsid w:val="0027450A"/>
    <w:rsid w:val="0027600C"/>
    <w:rsid w:val="00292712"/>
    <w:rsid w:val="002A487D"/>
    <w:rsid w:val="002C2E29"/>
    <w:rsid w:val="002C2F20"/>
    <w:rsid w:val="002D1EE3"/>
    <w:rsid w:val="002D74EC"/>
    <w:rsid w:val="002F1D80"/>
    <w:rsid w:val="003027CF"/>
    <w:rsid w:val="00312624"/>
    <w:rsid w:val="003232A2"/>
    <w:rsid w:val="00325C14"/>
    <w:rsid w:val="0035021F"/>
    <w:rsid w:val="00366631"/>
    <w:rsid w:val="003710F6"/>
    <w:rsid w:val="003850C4"/>
    <w:rsid w:val="00386E88"/>
    <w:rsid w:val="00396585"/>
    <w:rsid w:val="003D74A0"/>
    <w:rsid w:val="004033D8"/>
    <w:rsid w:val="004073F0"/>
    <w:rsid w:val="00412A7D"/>
    <w:rsid w:val="00416B4D"/>
    <w:rsid w:val="00417CFC"/>
    <w:rsid w:val="004962A1"/>
    <w:rsid w:val="004B24ED"/>
    <w:rsid w:val="004D2D82"/>
    <w:rsid w:val="004D3876"/>
    <w:rsid w:val="004E4552"/>
    <w:rsid w:val="00553C9D"/>
    <w:rsid w:val="00557D2C"/>
    <w:rsid w:val="00562A66"/>
    <w:rsid w:val="00584E7D"/>
    <w:rsid w:val="005B064E"/>
    <w:rsid w:val="005D51AE"/>
    <w:rsid w:val="0062674B"/>
    <w:rsid w:val="006363B2"/>
    <w:rsid w:val="00644940"/>
    <w:rsid w:val="006818A9"/>
    <w:rsid w:val="006A2D81"/>
    <w:rsid w:val="006C1D0D"/>
    <w:rsid w:val="0070601E"/>
    <w:rsid w:val="00711293"/>
    <w:rsid w:val="00712C72"/>
    <w:rsid w:val="00735FE9"/>
    <w:rsid w:val="0074603C"/>
    <w:rsid w:val="00763CAA"/>
    <w:rsid w:val="00765F66"/>
    <w:rsid w:val="00767E24"/>
    <w:rsid w:val="007C3FA6"/>
    <w:rsid w:val="007D273A"/>
    <w:rsid w:val="007D585A"/>
    <w:rsid w:val="007D5A12"/>
    <w:rsid w:val="007E59F9"/>
    <w:rsid w:val="00810BCD"/>
    <w:rsid w:val="00812C98"/>
    <w:rsid w:val="00814D92"/>
    <w:rsid w:val="0083181D"/>
    <w:rsid w:val="00846B6D"/>
    <w:rsid w:val="00874BBC"/>
    <w:rsid w:val="00892135"/>
    <w:rsid w:val="00895449"/>
    <w:rsid w:val="00897879"/>
    <w:rsid w:val="008A6870"/>
    <w:rsid w:val="008C2DDC"/>
    <w:rsid w:val="008C7516"/>
    <w:rsid w:val="008E6EC7"/>
    <w:rsid w:val="008F0D63"/>
    <w:rsid w:val="008F2C35"/>
    <w:rsid w:val="008F6665"/>
    <w:rsid w:val="0091204F"/>
    <w:rsid w:val="009203DB"/>
    <w:rsid w:val="00923CD4"/>
    <w:rsid w:val="00943386"/>
    <w:rsid w:val="009456B6"/>
    <w:rsid w:val="00957589"/>
    <w:rsid w:val="00966D06"/>
    <w:rsid w:val="00982412"/>
    <w:rsid w:val="00983A8D"/>
    <w:rsid w:val="009A7257"/>
    <w:rsid w:val="009D6E0A"/>
    <w:rsid w:val="00A14672"/>
    <w:rsid w:val="00A26BD6"/>
    <w:rsid w:val="00A443CF"/>
    <w:rsid w:val="00A6611D"/>
    <w:rsid w:val="00A82CB7"/>
    <w:rsid w:val="00AA2F03"/>
    <w:rsid w:val="00AB7BF3"/>
    <w:rsid w:val="00AC36F7"/>
    <w:rsid w:val="00AC63A4"/>
    <w:rsid w:val="00AD239E"/>
    <w:rsid w:val="00B10265"/>
    <w:rsid w:val="00B21211"/>
    <w:rsid w:val="00B35784"/>
    <w:rsid w:val="00B41CC1"/>
    <w:rsid w:val="00B733A7"/>
    <w:rsid w:val="00B975AD"/>
    <w:rsid w:val="00BC45FB"/>
    <w:rsid w:val="00BF148D"/>
    <w:rsid w:val="00C23B1A"/>
    <w:rsid w:val="00C310EB"/>
    <w:rsid w:val="00C9176A"/>
    <w:rsid w:val="00CB4631"/>
    <w:rsid w:val="00CF1AA2"/>
    <w:rsid w:val="00D0232F"/>
    <w:rsid w:val="00D60383"/>
    <w:rsid w:val="00D63620"/>
    <w:rsid w:val="00D8410D"/>
    <w:rsid w:val="00D867D7"/>
    <w:rsid w:val="00D946D2"/>
    <w:rsid w:val="00DB7060"/>
    <w:rsid w:val="00DE3153"/>
    <w:rsid w:val="00E06736"/>
    <w:rsid w:val="00E13C27"/>
    <w:rsid w:val="00E222F1"/>
    <w:rsid w:val="00E33BBD"/>
    <w:rsid w:val="00E45103"/>
    <w:rsid w:val="00E665B9"/>
    <w:rsid w:val="00EA01E6"/>
    <w:rsid w:val="00EA3DE8"/>
    <w:rsid w:val="00EA758F"/>
    <w:rsid w:val="00ED4A6F"/>
    <w:rsid w:val="00EF3A3A"/>
    <w:rsid w:val="00F166A8"/>
    <w:rsid w:val="00F628D6"/>
    <w:rsid w:val="00F67051"/>
    <w:rsid w:val="00F82B8C"/>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4879549E-AC4E-46EF-9EFE-C3FCFD5C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93"/>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customStyle="1" w:styleId="Cover1-Reshumot">
    <w:name w:val="Cover 1-Reshumot"/>
    <w:basedOn w:val="Normal"/>
    <w:rsid w:val="00711293"/>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rsid w:val="00711293"/>
    <w:rPr>
      <w:sz w:val="36"/>
      <w:szCs w:val="52"/>
    </w:rPr>
  </w:style>
  <w:style w:type="paragraph" w:customStyle="1" w:styleId="Cover3-Haknesset">
    <w:name w:val="Cover 3-Haknesset"/>
    <w:basedOn w:val="Cover1-Reshumot"/>
    <w:rsid w:val="00711293"/>
    <w:rPr>
      <w:b/>
      <w:bCs/>
      <w:spacing w:val="60"/>
    </w:rPr>
  </w:style>
  <w:style w:type="paragraph" w:customStyle="1" w:styleId="Cover4-Date">
    <w:name w:val="Cover 4-Date"/>
    <w:basedOn w:val="Normal"/>
    <w:rsid w:val="00711293"/>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rmal"/>
    <w:rsid w:val="00711293"/>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Normal"/>
    <w:rsid w:val="00711293"/>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adHatzaotHok4Futer">
    <w:name w:val="Head HatzaotHok4Futer"/>
    <w:basedOn w:val="HeadHatzaotHok"/>
    <w:rsid w:val="00711293"/>
    <w:pPr>
      <w:spacing w:before="120" w:after="120"/>
    </w:pPr>
    <w:rPr>
      <w:color w:val="FF0000"/>
      <w:w w:val="80"/>
    </w:rPr>
  </w:style>
  <w:style w:type="paragraph" w:styleId="EndnoteText">
    <w:name w:val="endnote text"/>
    <w:basedOn w:val="Normal"/>
    <w:link w:val="EndnoteTextChar"/>
    <w:uiPriority w:val="99"/>
    <w:semiHidden/>
    <w:rsid w:val="00711293"/>
    <w:pPr>
      <w:ind w:left="227" w:hanging="227"/>
    </w:pPr>
    <w:rPr>
      <w:sz w:val="14"/>
      <w:szCs w:val="22"/>
    </w:rPr>
  </w:style>
  <w:style w:type="character" w:customStyle="1" w:styleId="EndnoteTextChar">
    <w:name w:val="Endnote Text Char"/>
    <w:basedOn w:val="DefaultParagraphFont"/>
    <w:link w:val="EndnoteText"/>
    <w:uiPriority w:val="99"/>
    <w:semiHidden/>
    <w:locked/>
    <w:rPr>
      <w:rFonts w:ascii="Hadasa Roso SL" w:hAnsi="Hadasa Roso SL" w:cs="Hadasa Roso SL"/>
      <w:color w:val="000000"/>
      <w:spacing w:val="1"/>
      <w:lang w:val="x-none" w:eastAsia="ja-JP"/>
    </w:rPr>
  </w:style>
  <w:style w:type="paragraph" w:customStyle="1" w:styleId="TableText">
    <w:name w:val="Table Text"/>
    <w:basedOn w:val="Normal"/>
    <w:rsid w:val="00711293"/>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711293"/>
  </w:style>
  <w:style w:type="paragraph" w:customStyle="1" w:styleId="TableBlock">
    <w:name w:val="Table Block"/>
    <w:basedOn w:val="TableText"/>
    <w:rsid w:val="00711293"/>
    <w:pPr>
      <w:ind w:right="0"/>
      <w:jc w:val="both"/>
    </w:pPr>
  </w:style>
  <w:style w:type="paragraph" w:customStyle="1" w:styleId="TableHead">
    <w:name w:val="Table Head"/>
    <w:basedOn w:val="TableText"/>
    <w:rsid w:val="00711293"/>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711293"/>
  </w:style>
  <w:style w:type="paragraph" w:customStyle="1" w:styleId="Hesber">
    <w:name w:val="Hesber"/>
    <w:basedOn w:val="Normal"/>
    <w:rsid w:val="00711293"/>
    <w:pPr>
      <w:snapToGrid w:val="0"/>
      <w:spacing w:before="0" w:line="360" w:lineRule="auto"/>
    </w:pPr>
    <w:rPr>
      <w:rFonts w:ascii="Arial" w:eastAsia="Arial Unicode MS" w:hAnsi="Arial" w:cs="David"/>
      <w:spacing w:val="0"/>
      <w:sz w:val="20"/>
      <w:szCs w:val="26"/>
    </w:rPr>
  </w:style>
  <w:style w:type="paragraph" w:styleId="FootnoteText">
    <w:name w:val="footnote text"/>
    <w:basedOn w:val="Normal"/>
    <w:link w:val="FootnoteTextChar"/>
    <w:autoRedefine/>
    <w:uiPriority w:val="99"/>
    <w:semiHidden/>
    <w:rsid w:val="00711293"/>
    <w:pPr>
      <w:snapToGrid w:val="0"/>
      <w:spacing w:before="0" w:line="240" w:lineRule="auto"/>
      <w:ind w:left="227" w:hanging="227"/>
      <w:jc w:val="left"/>
    </w:pPr>
    <w:rPr>
      <w:rFonts w:ascii="Arial" w:eastAsia="Arial Unicode MS" w:hAnsi="Arial" w:cs="David"/>
      <w:spacing w:val="0"/>
      <w:sz w:val="14"/>
      <w:szCs w:val="20"/>
    </w:rPr>
  </w:style>
  <w:style w:type="character" w:customStyle="1" w:styleId="FootnoteTextChar">
    <w:name w:val="Footnote Text Char"/>
    <w:basedOn w:val="DefaultParagraphFont"/>
    <w:link w:val="FootnoteText"/>
    <w:uiPriority w:val="99"/>
    <w:semiHidden/>
    <w:locked/>
    <w:rPr>
      <w:rFonts w:ascii="Hadasa Roso SL" w:hAnsi="Hadasa Roso SL" w:cs="Hadasa Roso SL"/>
      <w:color w:val="000000"/>
      <w:spacing w:val="1"/>
      <w:lang w:val="x-none" w:eastAsia="ja-JP"/>
    </w:rPr>
  </w:style>
  <w:style w:type="character" w:styleId="FootnoteReference">
    <w:name w:val="footnote reference"/>
    <w:basedOn w:val="DefaultParagraphFont"/>
    <w:uiPriority w:val="99"/>
    <w:semiHidden/>
    <w:rsid w:val="00711293"/>
    <w:rPr>
      <w:rFonts w:cs="Times New Roman"/>
      <w:vertAlign w:val="superscript"/>
    </w:rPr>
  </w:style>
  <w:style w:type="paragraph" w:customStyle="1" w:styleId="HesberHeading">
    <w:name w:val="Hesber Heading"/>
    <w:basedOn w:val="Hesber"/>
    <w:rsid w:val="00711293"/>
    <w:pPr>
      <w:tabs>
        <w:tab w:val="left" w:pos="624"/>
        <w:tab w:val="left" w:pos="1247"/>
      </w:tabs>
      <w:ind w:firstLine="0"/>
    </w:pPr>
    <w:rPr>
      <w:b/>
      <w:bCs/>
    </w:rPr>
  </w:style>
  <w:style w:type="paragraph" w:customStyle="1" w:styleId="HesberWriters">
    <w:name w:val="Hesber Writers"/>
    <w:basedOn w:val="Hesber"/>
    <w:rsid w:val="00711293"/>
    <w:pPr>
      <w:spacing w:before="120" w:after="6000"/>
      <w:ind w:left="1418" w:firstLine="0"/>
      <w:jc w:val="right"/>
    </w:pPr>
    <w:rPr>
      <w:b/>
      <w:bCs/>
    </w:rPr>
  </w:style>
  <w:style w:type="paragraph" w:customStyle="1" w:styleId="Hesber1st">
    <w:name w:val="Hesber 1st"/>
    <w:basedOn w:val="Hesber"/>
    <w:rsid w:val="00711293"/>
    <w:pPr>
      <w:tabs>
        <w:tab w:val="left" w:pos="680"/>
        <w:tab w:val="left" w:pos="1020"/>
      </w:tabs>
      <w:ind w:firstLine="0"/>
    </w:pPr>
  </w:style>
  <w:style w:type="character" w:styleId="EndnoteReference">
    <w:name w:val="endnote reference"/>
    <w:basedOn w:val="DefaultParagraphFont"/>
    <w:uiPriority w:val="99"/>
    <w:semiHidden/>
    <w:rsid w:val="00711293"/>
    <w:rPr>
      <w:rFonts w:cs="Times New Roman"/>
      <w:vertAlign w:val="superscript"/>
    </w:rPr>
  </w:style>
  <w:style w:type="paragraph" w:customStyle="1" w:styleId="TableBlockOutdent">
    <w:name w:val="Table BlockOutdent"/>
    <w:basedOn w:val="TableBlock"/>
    <w:rsid w:val="00711293"/>
    <w:pPr>
      <w:ind w:left="624" w:hanging="624"/>
    </w:pPr>
  </w:style>
  <w:style w:type="paragraph" w:styleId="Header">
    <w:name w:val="header"/>
    <w:basedOn w:val="Normal"/>
    <w:link w:val="HeaderChar"/>
    <w:uiPriority w:val="99"/>
    <w:rsid w:val="00711293"/>
    <w:pPr>
      <w:tabs>
        <w:tab w:val="center" w:pos="4153"/>
        <w:tab w:val="right" w:pos="8306"/>
      </w:tabs>
    </w:pPr>
  </w:style>
  <w:style w:type="character" w:customStyle="1" w:styleId="HeaderChar">
    <w:name w:val="Header Char"/>
    <w:basedOn w:val="DefaultParagraphFont"/>
    <w:link w:val="Header"/>
    <w:uiPriority w:val="99"/>
    <w:semiHidden/>
    <w:locked/>
    <w:rPr>
      <w:rFonts w:ascii="Hadasa Roso SL" w:hAnsi="Hadasa Roso SL" w:cs="Hadasa Roso SL"/>
      <w:color w:val="000000"/>
      <w:spacing w:val="1"/>
      <w:sz w:val="17"/>
      <w:szCs w:val="17"/>
      <w:lang w:val="x-none" w:eastAsia="ja-JP"/>
    </w:rPr>
  </w:style>
  <w:style w:type="paragraph" w:styleId="Footer">
    <w:name w:val="footer"/>
    <w:basedOn w:val="Normal"/>
    <w:link w:val="FooterChar"/>
    <w:uiPriority w:val="99"/>
    <w:rsid w:val="00711293"/>
    <w:pPr>
      <w:tabs>
        <w:tab w:val="center" w:pos="4153"/>
        <w:tab w:val="right" w:pos="8306"/>
      </w:tabs>
    </w:pPr>
  </w:style>
  <w:style w:type="character" w:customStyle="1" w:styleId="FooterChar">
    <w:name w:val="Footer Char"/>
    <w:basedOn w:val="DefaultParagraphFont"/>
    <w:link w:val="Footer"/>
    <w:uiPriority w:val="99"/>
    <w:semiHidden/>
    <w:locked/>
    <w:rPr>
      <w:rFonts w:ascii="Hadasa Roso SL" w:hAnsi="Hadasa Roso SL" w:cs="Hadasa Roso SL"/>
      <w:color w:val="000000"/>
      <w:spacing w:val="1"/>
      <w:sz w:val="17"/>
      <w:szCs w:val="17"/>
      <w:lang w:val="x-none" w:eastAsia="ja-JP"/>
    </w:rPr>
  </w:style>
  <w:style w:type="paragraph" w:customStyle="1" w:styleId="HeadDivreiHesber">
    <w:name w:val="Head DivreiHesber"/>
    <w:basedOn w:val="Normal"/>
    <w:rsid w:val="00711293"/>
    <w:pPr>
      <w:snapToGrid w:val="0"/>
      <w:spacing w:before="360" w:after="120" w:line="360" w:lineRule="auto"/>
      <w:ind w:firstLine="0"/>
      <w:jc w:val="center"/>
    </w:pPr>
    <w:rPr>
      <w:rFonts w:ascii="Arial" w:eastAsia="Arial Unicode MS" w:hAnsi="Arial" w:cs="David"/>
      <w:b/>
      <w:spacing w:val="40"/>
      <w:sz w:val="20"/>
      <w:szCs w:val="26"/>
    </w:rPr>
  </w:style>
  <w:style w:type="paragraph" w:customStyle="1" w:styleId="Ragil">
    <w:name w:val="Ragil"/>
    <w:basedOn w:val="Normal"/>
    <w:rsid w:val="00711293"/>
    <w:pPr>
      <w:snapToGrid w:val="0"/>
      <w:spacing w:before="0" w:line="360" w:lineRule="auto"/>
      <w:jc w:val="left"/>
    </w:pPr>
    <w:rPr>
      <w:rFonts w:ascii="Arial" w:eastAsia="Arial Unicode MS" w:hAnsi="Arial" w:cs="David"/>
      <w:spacing w:val="0"/>
      <w:sz w:val="20"/>
      <w:szCs w:val="26"/>
    </w:rPr>
  </w:style>
  <w:style w:type="paragraph" w:styleId="Title">
    <w:name w:val="Title"/>
    <w:basedOn w:val="Normal"/>
    <w:link w:val="TitleChar"/>
    <w:uiPriority w:val="10"/>
    <w:qFormat/>
    <w:rsid w:val="00943386"/>
    <w:pPr>
      <w:jc w:val="center"/>
    </w:pPr>
    <w:rPr>
      <w:rFonts w:cs="David"/>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spacing w:val="1"/>
      <w:kern w:val="28"/>
      <w:sz w:val="32"/>
      <w:szCs w:val="32"/>
      <w:lang w:val="x-none" w:eastAsia="ja-JP"/>
    </w:rPr>
  </w:style>
  <w:style w:type="character" w:styleId="PageNumber">
    <w:name w:val="page number"/>
    <w:basedOn w:val="DefaultParagraphFont"/>
    <w:uiPriority w:val="99"/>
    <w:rsid w:val="00711293"/>
    <w:rPr>
      <w:rFonts w:cs="Times New Roman"/>
    </w:rPr>
  </w:style>
  <w:style w:type="paragraph" w:customStyle="1" w:styleId="David">
    <w:name w:val="רגיל + (עברית ושפות אחרות) David"/>
    <w:aliases w:val="‏13 נק',מודגש,אחרי:  6 נק'"/>
    <w:basedOn w:val="Normal"/>
    <w:rsid w:val="001207F8"/>
    <w:pPr>
      <w:ind w:firstLine="0"/>
      <w:jc w:val="left"/>
    </w:pPr>
    <w:rPr>
      <w:rFonts w:cs="David"/>
      <w:sz w:val="26"/>
      <w:szCs w:val="26"/>
    </w:rPr>
  </w:style>
  <w:style w:type="paragraph" w:styleId="BalloonText">
    <w:name w:val="Balloon Text"/>
    <w:basedOn w:val="Normal"/>
    <w:link w:val="BalloonTextChar"/>
    <w:uiPriority w:val="99"/>
    <w:semiHidden/>
    <w:unhideWhenUsed/>
    <w:rsid w:val="00325C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C14"/>
    <w:rPr>
      <w:rFonts w:ascii="Tahoma" w:hAnsi="Tahoma" w:cs="Tahoma"/>
      <w:color w:val="000000"/>
      <w:spacing w:val="1"/>
      <w:sz w:val="16"/>
      <w:szCs w:val="16"/>
      <w:lang w:val="x-none" w:eastAsia="ja-JP"/>
    </w:rPr>
  </w:style>
  <w:style w:type="character" w:styleId="CommentReference">
    <w:name w:val="annotation reference"/>
    <w:basedOn w:val="DefaultParagraphFont"/>
    <w:uiPriority w:val="99"/>
    <w:semiHidden/>
    <w:unhideWhenUsed/>
    <w:rsid w:val="00D946D2"/>
    <w:rPr>
      <w:rFonts w:cs="Times New Roman"/>
      <w:sz w:val="16"/>
      <w:szCs w:val="16"/>
    </w:rPr>
  </w:style>
  <w:style w:type="paragraph" w:styleId="CommentText">
    <w:name w:val="annotation text"/>
    <w:basedOn w:val="Normal"/>
    <w:link w:val="CommentTextChar"/>
    <w:uiPriority w:val="99"/>
    <w:semiHidden/>
    <w:unhideWhenUsed/>
    <w:rsid w:val="00D946D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946D2"/>
    <w:rPr>
      <w:rFonts w:ascii="Hadasa Roso SL" w:hAnsi="Hadasa Roso SL" w:cs="Hadasa Roso SL"/>
      <w:color w:val="000000"/>
      <w:spacing w:val="1"/>
      <w:lang w:val="x-none" w:eastAsia="ja-JP"/>
    </w:rPr>
  </w:style>
  <w:style w:type="paragraph" w:styleId="CommentSubject">
    <w:name w:val="annotation subject"/>
    <w:basedOn w:val="CommentText"/>
    <w:next w:val="CommentText"/>
    <w:link w:val="CommentSubjectChar"/>
    <w:uiPriority w:val="99"/>
    <w:semiHidden/>
    <w:unhideWhenUsed/>
    <w:rsid w:val="00D946D2"/>
    <w:rPr>
      <w:b/>
      <w:bCs/>
    </w:rPr>
  </w:style>
  <w:style w:type="character" w:customStyle="1" w:styleId="CommentSubjectChar">
    <w:name w:val="Comment Subject Char"/>
    <w:basedOn w:val="CommentTextChar"/>
    <w:link w:val="CommentSubject"/>
    <w:uiPriority w:val="99"/>
    <w:semiHidden/>
    <w:locked/>
    <w:rsid w:val="00D946D2"/>
    <w:rPr>
      <w:rFonts w:ascii="Hadasa Roso SL" w:hAnsi="Hadasa Roso SL" w:cs="Hadasa Roso SL"/>
      <w:b/>
      <w:bCs/>
      <w:color w:val="000000"/>
      <w:spacing w:val="1"/>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642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54879-7981-4F3F-8DAE-C082AD6E4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12ECD00-24A9-4E0D-A6F3-79D514A9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הצעת חוק הביטוח הלאומי (תיקון  הכרה בפגיעה מתוך מניע גזעני בעבודה כתאונת עבודה), התשע"ה2015</vt:lpstr>
    </vt:vector>
  </TitlesOfParts>
  <Company>Knesset</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הביטוח הלאומי (תיקון  הכרה בפגיעה מתוך מניע גזעני בעבודה כתאונת עבודה), התשע"ה2015</dc:title>
  <dc:subject/>
  <dc:creator>מיקה צור</dc:creator>
  <cp:keywords/>
  <dc:description/>
  <cp:lastModifiedBy>Noa Zilberstein</cp:lastModifiedBy>
  <cp:revision>2</cp:revision>
  <cp:lastPrinted>2015-07-07T16:25:00Z</cp:lastPrinted>
  <dcterms:created xsi:type="dcterms:W3CDTF">2016-01-07T10:27:00Z</dcterms:created>
  <dcterms:modified xsi:type="dcterms:W3CDTF">2016-01-07T10:27:00Z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0354fdee-f711-4d2a-9cf2-2d1c4d9ac92a</vt:lpwstr>
  </property>
  <property fmtid="{D5CDD505-2E9C-101B-9397-08002B2CF9AE}" pid="4" name="SanhedrinDocumentType">
    <vt:r8>10</vt:r8>
  </property>
  <property fmtid="{D5CDD505-2E9C-101B-9397-08002B2CF9AE}" pid="5" name="SanhedrinItemID">
    <vt:r8>563963</vt:r8>
  </property>
  <property fmtid="{D5CDD505-2E9C-101B-9397-08002B2CF9AE}" pid="6" name="Autonumber">
    <vt:lpwstr>311780</vt:lpwstr>
  </property>
  <property fmtid="{D5CDD505-2E9C-101B-9397-08002B2CF9AE}" pid="7" name="title">
    <vt:lpwstr>הצעת חוק הביטוח הלאומי (תיקון  הכרה בפגיעה מתוך מניע גזעני בעבודה כתאונת עבודה), התשע"ה2015</vt:lpwstr>
  </property>
  <property fmtid="{D5CDD505-2E9C-101B-9397-08002B2CF9AE}" pid="8" name="SDAuthor">
    <vt:lpwstr>חלאד תיתי</vt:lpwstr>
  </property>
  <property fmtid="{D5CDD505-2E9C-101B-9397-08002B2CF9AE}" pid="9" name="SDDocDate">
    <vt:lpwstr>2015-06-02T12:47:04+03:00</vt:lpwstr>
  </property>
  <property fmtid="{D5CDD505-2E9C-101B-9397-08002B2CF9AE}" pid="10" name="LSITEMID">
    <vt:lpwstr>563963</vt:lpwstr>
  </property>
  <property fmtid="{D5CDD505-2E9C-101B-9397-08002B2CF9AE}" pid="11" name="LSSUBJECT">
    <vt:lpwstr>הצעת חוק הביטוח הלאומי (תיקון  הכרה בפגיעה מתוך מניע גזעני בעבודה כתאונת עבודה), התשע"ה2015</vt:lpwstr>
  </property>
  <property fmtid="{D5CDD505-2E9C-101B-9397-08002B2CF9AE}" pid="12" name="LSKNESSETID">
    <vt:lpwstr>20</vt:lpwstr>
  </property>
  <property fmtid="{D5CDD505-2E9C-101B-9397-08002B2CF9AE}" pid="13" name="USNAME">
    <vt:lpwstr> </vt:lpwstr>
  </property>
  <property fmtid="{D5CDD505-2E9C-101B-9397-08002B2CF9AE}" pid="14" name="DTCOUNTER">
    <vt:lpwstr>848333</vt:lpwstr>
  </property>
  <property fmtid="{D5CDD505-2E9C-101B-9397-08002B2CF9AE}" pid="15" name="תאריך הנחה">
    <vt:lpwstr>07/13/2015</vt:lpwstr>
  </property>
  <property fmtid="{D5CDD505-2E9C-101B-9397-08002B2CF9AE}" pid="16" name="PLACE_DATE">
    <vt:lpwstr>13/07/2015 00:00:00</vt:lpwstr>
  </property>
  <property fmtid="{D5CDD505-2E9C-101B-9397-08002B2CF9AE}" pid="17" name="VAADA">
    <vt:lpwstr/>
  </property>
  <property fmtid="{D5CDD505-2E9C-101B-9397-08002B2CF9AE}" pid="18" name="YOZEMHATZAA_CHAKLIST">
    <vt:lpwstr>באסל גטאס</vt:lpwstr>
  </property>
  <property fmtid="{D5CDD505-2E9C-101B-9397-08002B2CF9AE}" pid="19" name="YOZEMID">
    <vt:lpwstr>000023643</vt:lpwstr>
  </property>
  <property fmtid="{D5CDD505-2E9C-101B-9397-08002B2CF9AE}" pid="20" name="PROPOSER">
    <vt:lpwstr/>
  </property>
  <property fmtid="{D5CDD505-2E9C-101B-9397-08002B2CF9AE}" pid="21" name="PROPOSERID">
    <vt:lpwstr/>
  </property>
  <property fmtid="{D5CDD505-2E9C-101B-9397-08002B2CF9AE}" pid="22" name="MISHATZAATCHOK">
    <vt:lpwstr>פ/1696/20</vt:lpwstr>
  </property>
</Properties>
</file>