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E29" w:rsidRPr="0000131B" w:rsidRDefault="004033D8" w:rsidP="00A443CF">
      <w:pPr>
        <w:pStyle w:val="HeadHatzaotHok"/>
        <w:jc w:val="right"/>
        <w:rPr>
          <w:b w:val="0"/>
          <w:bCs w:val="0"/>
          <w:szCs w:val="20"/>
        </w:rPr>
      </w:pPr>
      <w:bookmarkStart w:id="0" w:name="_GoBack"/>
      <w:bookmarkEnd w:id="0"/>
      <w:r w:rsidRPr="0000131B">
        <w:rPr>
          <w:b w:val="0"/>
          <w:bCs w:val="0"/>
          <w:szCs w:val="20"/>
          <w:rtl/>
        </w:rPr>
        <w:t xml:space="preserve">מספר פנימי: </w:t>
      </w:r>
      <w:bookmarkStart w:id="1" w:name="LGS_Internal_ID"/>
      <w:r>
        <w:rPr>
          <w:b w:val="0"/>
          <w:bCs w:val="0"/>
          <w:szCs w:val="20"/>
          <w:rtl/>
        </w:rPr>
        <w:t>562789</w:t>
      </w:r>
      <w:bookmarkEnd w:id="1"/>
    </w:p>
    <w:p w:rsidR="00E13C27" w:rsidRPr="00DB7060" w:rsidRDefault="00E13C27" w:rsidP="00A443CF">
      <w:pPr>
        <w:pStyle w:val="HeadHatzaotHok"/>
        <w:rPr>
          <w:sz w:val="28"/>
          <w:szCs w:val="28"/>
          <w:rtl/>
        </w:rPr>
      </w:pPr>
      <w:r w:rsidRPr="00DB7060">
        <w:rPr>
          <w:sz w:val="28"/>
          <w:szCs w:val="28"/>
          <w:rtl/>
        </w:rPr>
        <w:t xml:space="preserve">הכנסת </w:t>
      </w:r>
      <w:bookmarkStart w:id="2" w:name="LGS_Knesset_Num"/>
      <w:r w:rsidR="00B54A10">
        <w:rPr>
          <w:sz w:val="28"/>
          <w:szCs w:val="28"/>
          <w:rtl/>
        </w:rPr>
        <w:t>העשרים</w:t>
      </w:r>
      <w:bookmarkEnd w:id="2"/>
    </w:p>
    <w:p w:rsidR="00E13C27" w:rsidRPr="00F67051" w:rsidRDefault="00E13C27" w:rsidP="00E13C27">
      <w:pPr>
        <w:rPr>
          <w:rFonts w:cs="David"/>
          <w:b/>
          <w:bCs/>
          <w:sz w:val="26"/>
          <w:szCs w:val="26"/>
          <w:rtl/>
        </w:rPr>
      </w:pPr>
    </w:p>
    <w:p w:rsidR="00E13C27" w:rsidRDefault="008F6665" w:rsidP="00223A92">
      <w:pPr>
        <w:pStyle w:val="David"/>
        <w:spacing w:line="360" w:lineRule="auto"/>
        <w:ind w:left="3544"/>
        <w:rPr>
          <w:b/>
          <w:bCs/>
          <w:rtl/>
        </w:rPr>
      </w:pPr>
      <w:bookmarkStart w:id="3" w:name="LGS_Initiators_List"/>
      <w:r>
        <w:rPr>
          <w:rFonts w:hint="cs"/>
          <w:b/>
          <w:bCs/>
          <w:rtl/>
        </w:rPr>
        <w:t>יוזם</w:t>
      </w:r>
      <w:r>
        <w:rPr>
          <w:b/>
          <w:bCs/>
          <w:rtl/>
        </w:rPr>
        <w:t>:</w:t>
      </w:r>
      <w:r>
        <w:tab/>
      </w:r>
      <w:r>
        <w:rPr>
          <w:b/>
          <w:bCs/>
          <w:rtl/>
        </w:rPr>
        <w:t xml:space="preserve">      </w:t>
      </w:r>
      <w:r>
        <w:rPr>
          <w:rFonts w:hint="cs"/>
          <w:b/>
          <w:bCs/>
          <w:rtl/>
        </w:rPr>
        <w:t>חבר</w:t>
      </w:r>
      <w:r>
        <w:rPr>
          <w:b/>
          <w:bCs/>
          <w:rtl/>
        </w:rPr>
        <w:t xml:space="preserve"> </w:t>
      </w:r>
      <w:r>
        <w:rPr>
          <w:rFonts w:hint="cs"/>
          <w:b/>
          <w:bCs/>
          <w:rtl/>
        </w:rPr>
        <w:t>הכנסת</w:t>
      </w:r>
      <w:bookmarkEnd w:id="3"/>
      <w:r w:rsidR="00B35784" w:rsidRPr="00F67051">
        <w:rPr>
          <w:b/>
          <w:bCs/>
        </w:rPr>
        <w:tab/>
      </w:r>
      <w:bookmarkStart w:id="4" w:name="LGS_PM_Names"/>
      <w:r>
        <w:rPr>
          <w:rFonts w:hint="cs"/>
          <w:b/>
          <w:bCs/>
          <w:rtl/>
        </w:rPr>
        <w:t>מיקי</w:t>
      </w:r>
      <w:r>
        <w:rPr>
          <w:b/>
          <w:bCs/>
          <w:rtl/>
        </w:rPr>
        <w:t xml:space="preserve"> </w:t>
      </w:r>
      <w:r>
        <w:rPr>
          <w:rFonts w:hint="cs"/>
          <w:b/>
          <w:bCs/>
          <w:rtl/>
        </w:rPr>
        <w:t>רוזנטל</w:t>
      </w:r>
      <w:bookmarkEnd w:id="4"/>
    </w:p>
    <w:p w:rsidR="00E13C27" w:rsidRPr="00CF1AA2" w:rsidRDefault="007D585A" w:rsidP="00CF1AA2">
      <w:pPr>
        <w:pStyle w:val="David"/>
        <w:ind w:left="3544"/>
        <w:rPr>
          <w:b/>
          <w:bCs/>
          <w:rtl/>
        </w:rPr>
      </w:pPr>
      <w:bookmarkStart w:id="5" w:name="LGS_Join_List"/>
      <w:r>
        <w:rPr>
          <w:rtl/>
        </w:rPr>
        <w:t xml:space="preserve"> </w:t>
      </w:r>
      <w:bookmarkEnd w:id="5"/>
      <w:r w:rsidR="002200A1" w:rsidRPr="00CF1AA2">
        <w:rPr>
          <w:rtl/>
        </w:rPr>
        <w:tab/>
      </w:r>
      <w:bookmarkStart w:id="6" w:name="LGS_PM_NamesJoin"/>
      <w:r>
        <w:rPr>
          <w:rtl/>
        </w:rPr>
        <w:t xml:space="preserve"> </w:t>
      </w:r>
      <w:bookmarkEnd w:id="6"/>
    </w:p>
    <w:p w:rsidR="00E13C27" w:rsidRPr="00E06736" w:rsidRDefault="006938C5" w:rsidP="00416B4D">
      <w:pPr>
        <w:pStyle w:val="David"/>
        <w:ind w:left="3544"/>
        <w:rPr>
          <w:rtl/>
        </w:rPr>
      </w:pP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1270</wp:posOffset>
                </wp:positionH>
                <wp:positionV relativeFrom="paragraph">
                  <wp:posOffset>47625</wp:posOffset>
                </wp:positionV>
                <wp:extent cx="3879215" cy="17145"/>
                <wp:effectExtent l="0" t="0" r="26035" b="20955"/>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215" cy="17145"/>
                        </a:xfrm>
                        <a:custGeom>
                          <a:avLst/>
                          <a:gdLst>
                            <a:gd name="T0" fmla="*/ 0 w 6109"/>
                            <a:gd name="T1" fmla="*/ 27 h 27"/>
                            <a:gd name="T2" fmla="*/ 6109 w 6109"/>
                            <a:gd name="T3" fmla="*/ 0 h 27"/>
                          </a:gdLst>
                          <a:ahLst/>
                          <a:cxnLst>
                            <a:cxn ang="0">
                              <a:pos x="T0" y="T1"/>
                            </a:cxn>
                            <a:cxn ang="0">
                              <a:pos x="T2" y="T3"/>
                            </a:cxn>
                          </a:cxnLst>
                          <a:rect l="0" t="0" r="r" b="b"/>
                          <a:pathLst>
                            <a:path w="6109" h="27">
                              <a:moveTo>
                                <a:pt x="0" y="27"/>
                              </a:moveTo>
                              <a:lnTo>
                                <a:pt x="6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25027C" id="Freeform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5.55pt,3.75pt" coordsize="6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filled="f">
                <v:path arrowok="t" o:connecttype="custom" o:connectlocs="0,17145;3879215,0" o:connectangles="0,0"/>
              </v:polyline>
            </w:pict>
          </mc:Fallback>
        </mc:AlternateContent>
      </w:r>
      <w:r w:rsidR="00E13C27" w:rsidRPr="00E06736">
        <w:rPr>
          <w:rtl/>
        </w:rPr>
        <w:tab/>
      </w:r>
      <w:r w:rsidR="00416B4D">
        <w:tab/>
      </w:r>
      <w:r w:rsidR="00FA5E88">
        <w:tab/>
      </w:r>
      <w:r w:rsidR="00E13C27" w:rsidRPr="00E06736">
        <w:rPr>
          <w:rtl/>
        </w:rPr>
        <w:tab/>
      </w:r>
      <w:r w:rsidR="00E06736" w:rsidRPr="00E06736">
        <w:tab/>
      </w:r>
      <w:bookmarkStart w:id="7" w:name="Private_Number"/>
      <w:r w:rsidR="0014195F">
        <w:rPr>
          <w:rFonts w:hint="cs"/>
          <w:rtl/>
        </w:rPr>
        <w:t>פ</w:t>
      </w:r>
      <w:r w:rsidR="0014195F">
        <w:rPr>
          <w:rtl/>
        </w:rPr>
        <w:t>/409/20</w:t>
      </w:r>
      <w:bookmarkEnd w:id="7"/>
      <w:r w:rsidR="00E13C27" w:rsidRPr="00E06736">
        <w:rPr>
          <w:rtl/>
        </w:rPr>
        <w:tab/>
      </w:r>
      <w:r w:rsidR="00E13C27" w:rsidRPr="00E06736">
        <w:rPr>
          <w:rtl/>
        </w:rPr>
        <w:tab/>
      </w:r>
      <w:r w:rsidR="00E13C27" w:rsidRPr="00E06736">
        <w:rPr>
          <w:rtl/>
        </w:rPr>
        <w:tab/>
      </w:r>
    </w:p>
    <w:p w:rsidR="00E13C27" w:rsidRDefault="00E13C27" w:rsidP="00E13C27">
      <w:pPr>
        <w:spacing w:before="0" w:line="360" w:lineRule="auto"/>
        <w:ind w:left="2880" w:firstLine="720"/>
        <w:rPr>
          <w:rFonts w:cs="David"/>
          <w:sz w:val="26"/>
          <w:szCs w:val="26"/>
          <w:rtl/>
        </w:rPr>
      </w:pPr>
    </w:p>
    <w:p w:rsidR="00E13C27" w:rsidRDefault="00A443CF" w:rsidP="001229E6">
      <w:pPr>
        <w:pStyle w:val="HeadHatzaotHok"/>
        <w:rPr>
          <w:rtl/>
        </w:rPr>
      </w:pPr>
      <w:bookmarkStart w:id="8" w:name="LGS_Subject"/>
      <w:r>
        <w:rPr>
          <w:rtl/>
        </w:rPr>
        <w:t>הצעת חוק העונשין (תיקון – מרמה והפרת אמונים), התשע"ה–2015</w:t>
      </w:r>
      <w:bookmarkEnd w:id="8"/>
    </w:p>
    <w:tbl>
      <w:tblPr>
        <w:bidiVisual/>
        <w:tblW w:w="9636" w:type="dxa"/>
        <w:tblLayout w:type="fixed"/>
        <w:tblCellMar>
          <w:top w:w="57" w:type="dxa"/>
          <w:left w:w="0" w:type="dxa"/>
          <w:bottom w:w="57" w:type="dxa"/>
          <w:right w:w="0" w:type="dxa"/>
        </w:tblCellMar>
        <w:tblLook w:val="0000" w:firstRow="0" w:lastRow="0" w:firstColumn="0" w:lastColumn="0" w:noHBand="0" w:noVBand="0"/>
      </w:tblPr>
      <w:tblGrid>
        <w:gridCol w:w="1869"/>
        <w:gridCol w:w="623"/>
        <w:gridCol w:w="624"/>
        <w:gridCol w:w="624"/>
        <w:gridCol w:w="624"/>
        <w:gridCol w:w="624"/>
        <w:gridCol w:w="624"/>
        <w:gridCol w:w="4024"/>
      </w:tblGrid>
      <w:tr w:rsidR="004E1FE5" w:rsidTr="003501EE">
        <w:trPr>
          <w:cantSplit/>
        </w:trPr>
        <w:tc>
          <w:tcPr>
            <w:tcW w:w="1869" w:type="dxa"/>
            <w:tcBorders>
              <w:top w:val="nil"/>
              <w:left w:val="nil"/>
              <w:bottom w:val="nil"/>
              <w:right w:val="nil"/>
            </w:tcBorders>
          </w:tcPr>
          <w:p w:rsidR="004E1FE5" w:rsidRDefault="004E1FE5" w:rsidP="001025F7">
            <w:pPr>
              <w:pStyle w:val="TableSideHeading"/>
              <w:keepLines w:val="0"/>
              <w:rPr>
                <w:sz w:val="26"/>
                <w:rtl/>
              </w:rPr>
            </w:pPr>
            <w:r>
              <w:rPr>
                <w:sz w:val="26"/>
                <w:rtl/>
              </w:rPr>
              <w:t>החלפת סעיף 284</w:t>
            </w:r>
          </w:p>
        </w:tc>
        <w:tc>
          <w:tcPr>
            <w:tcW w:w="623" w:type="dxa"/>
            <w:tcBorders>
              <w:top w:val="nil"/>
              <w:left w:val="nil"/>
              <w:bottom w:val="nil"/>
              <w:right w:val="nil"/>
            </w:tcBorders>
          </w:tcPr>
          <w:p w:rsidR="004E1FE5" w:rsidRDefault="004E1FE5" w:rsidP="001025F7">
            <w:pPr>
              <w:pStyle w:val="TableText"/>
              <w:keepLines w:val="0"/>
              <w:rPr>
                <w:sz w:val="26"/>
                <w:rtl/>
              </w:rPr>
            </w:pPr>
            <w:r>
              <w:rPr>
                <w:sz w:val="26"/>
                <w:rtl/>
              </w:rPr>
              <w:t xml:space="preserve">1. </w:t>
            </w:r>
          </w:p>
        </w:tc>
        <w:tc>
          <w:tcPr>
            <w:tcW w:w="7144" w:type="dxa"/>
            <w:gridSpan w:val="6"/>
            <w:tcBorders>
              <w:top w:val="nil"/>
              <w:left w:val="nil"/>
              <w:bottom w:val="nil"/>
              <w:right w:val="nil"/>
            </w:tcBorders>
          </w:tcPr>
          <w:p w:rsidR="004E1FE5" w:rsidRDefault="004E1FE5" w:rsidP="003501EE">
            <w:pPr>
              <w:pStyle w:val="TableBlock"/>
              <w:rPr>
                <w:sz w:val="26"/>
                <w:rtl/>
              </w:rPr>
            </w:pPr>
            <w:r>
              <w:rPr>
                <w:sz w:val="26"/>
                <w:rtl/>
              </w:rPr>
              <w:t>בחוק העונשין, התשל"ז–1977</w:t>
            </w:r>
            <w:r>
              <w:rPr>
                <w:rStyle w:val="FootnoteReference"/>
                <w:rFonts w:cs="David"/>
                <w:sz w:val="26"/>
                <w:rtl/>
              </w:rPr>
              <w:footnoteReference w:id="2"/>
            </w:r>
            <w:r>
              <w:rPr>
                <w:sz w:val="26"/>
                <w:rtl/>
              </w:rPr>
              <w:t xml:space="preserve"> (להלן – החוק העיקרי), במקום סעיף 284 יבוא:</w:t>
            </w:r>
          </w:p>
        </w:tc>
      </w:tr>
      <w:tr w:rsidR="004E1FE5" w:rsidTr="003501EE">
        <w:trPr>
          <w:cantSplit/>
        </w:trPr>
        <w:tc>
          <w:tcPr>
            <w:tcW w:w="1869" w:type="dxa"/>
            <w:tcBorders>
              <w:top w:val="nil"/>
              <w:left w:val="nil"/>
              <w:bottom w:val="nil"/>
              <w:right w:val="nil"/>
            </w:tcBorders>
          </w:tcPr>
          <w:p w:rsidR="004E1FE5" w:rsidRDefault="004E1FE5" w:rsidP="001025F7">
            <w:pPr>
              <w:pStyle w:val="TableSideHeading"/>
              <w:keepLines w:val="0"/>
            </w:pPr>
          </w:p>
        </w:tc>
        <w:tc>
          <w:tcPr>
            <w:tcW w:w="623" w:type="dxa"/>
            <w:tcBorders>
              <w:top w:val="nil"/>
              <w:left w:val="nil"/>
              <w:bottom w:val="nil"/>
              <w:right w:val="nil"/>
            </w:tcBorders>
          </w:tcPr>
          <w:p w:rsidR="004E1FE5" w:rsidRDefault="004E1FE5" w:rsidP="001025F7">
            <w:pPr>
              <w:pStyle w:val="TableText"/>
              <w:keepLines w:val="0"/>
            </w:pPr>
          </w:p>
        </w:tc>
        <w:tc>
          <w:tcPr>
            <w:tcW w:w="1872" w:type="dxa"/>
            <w:gridSpan w:val="3"/>
            <w:tcBorders>
              <w:top w:val="nil"/>
              <w:left w:val="nil"/>
              <w:bottom w:val="nil"/>
              <w:right w:val="nil"/>
            </w:tcBorders>
          </w:tcPr>
          <w:p w:rsidR="004E1FE5" w:rsidRDefault="004E1FE5" w:rsidP="001025F7">
            <w:pPr>
              <w:pStyle w:val="TableInnerSideHeading"/>
            </w:pPr>
            <w:r>
              <w:rPr>
                <w:sz w:val="26"/>
                <w:rtl/>
              </w:rPr>
              <w:t>"הפרת אמונים</w:t>
            </w:r>
          </w:p>
        </w:tc>
        <w:tc>
          <w:tcPr>
            <w:tcW w:w="624" w:type="dxa"/>
            <w:tcBorders>
              <w:top w:val="nil"/>
              <w:left w:val="nil"/>
              <w:bottom w:val="nil"/>
              <w:right w:val="nil"/>
            </w:tcBorders>
          </w:tcPr>
          <w:p w:rsidR="004E1FE5" w:rsidRDefault="004E1FE5" w:rsidP="001025F7">
            <w:pPr>
              <w:pStyle w:val="TableText"/>
            </w:pPr>
            <w:r>
              <w:rPr>
                <w:sz w:val="26"/>
                <w:rtl/>
              </w:rPr>
              <w:t>284.</w:t>
            </w:r>
          </w:p>
        </w:tc>
        <w:tc>
          <w:tcPr>
            <w:tcW w:w="4648" w:type="dxa"/>
            <w:gridSpan w:val="2"/>
            <w:tcBorders>
              <w:top w:val="nil"/>
              <w:left w:val="nil"/>
              <w:bottom w:val="nil"/>
              <w:right w:val="nil"/>
            </w:tcBorders>
          </w:tcPr>
          <w:p w:rsidR="004E1FE5" w:rsidRDefault="004E1FE5" w:rsidP="003501EE">
            <w:pPr>
              <w:pStyle w:val="TableBlock"/>
            </w:pPr>
            <w:r>
              <w:rPr>
                <w:sz w:val="26"/>
                <w:rtl/>
              </w:rPr>
              <w:t>(א)</w:t>
            </w:r>
            <w:r>
              <w:rPr>
                <w:sz w:val="26"/>
                <w:rtl/>
              </w:rPr>
              <w:tab/>
              <w:t>עובד ציבור העושה, תוך מחשבה פלילית, מעשה, לרבות אלה המנויים בפסקאות (1) עד (3), באופן שיש בו כדי לפגוע פגיעה חמורה בערכי טוהר המידות של עובדי הציב</w:t>
            </w:r>
            <w:r w:rsidR="00034A67">
              <w:rPr>
                <w:sz w:val="26"/>
                <w:rtl/>
              </w:rPr>
              <w:t>ור, באמון הציבור בשירות הציבורי</w:t>
            </w:r>
            <w:r>
              <w:rPr>
                <w:sz w:val="26"/>
                <w:rtl/>
              </w:rPr>
              <w:t xml:space="preserve"> או בפעולתו התקינה של השירות הציבורי, ובכלל זה באינטרס הציבורי עליו מופקד עובד הציבור או הגוף הציבורי בו הוא נושא משרה או תפקיד (בסעיף זה ובסעיף 284א – הערכים המוגנים), דינו – מאסר שלוש שנים:</w:t>
            </w:r>
          </w:p>
        </w:tc>
      </w:tr>
      <w:tr w:rsidR="004E1FE5" w:rsidTr="003501EE">
        <w:trPr>
          <w:cantSplit/>
        </w:trPr>
        <w:tc>
          <w:tcPr>
            <w:tcW w:w="1869" w:type="dxa"/>
            <w:tcBorders>
              <w:top w:val="nil"/>
              <w:left w:val="nil"/>
              <w:bottom w:val="nil"/>
              <w:right w:val="nil"/>
            </w:tcBorders>
          </w:tcPr>
          <w:p w:rsidR="004E1FE5" w:rsidRDefault="004E1FE5" w:rsidP="001025F7">
            <w:pPr>
              <w:pStyle w:val="TableSideHeading"/>
            </w:pPr>
          </w:p>
        </w:tc>
        <w:tc>
          <w:tcPr>
            <w:tcW w:w="623"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4024" w:type="dxa"/>
            <w:tcBorders>
              <w:top w:val="nil"/>
              <w:left w:val="nil"/>
              <w:bottom w:val="nil"/>
              <w:right w:val="nil"/>
            </w:tcBorders>
          </w:tcPr>
          <w:p w:rsidR="004E1FE5" w:rsidRDefault="004E1FE5" w:rsidP="003501EE">
            <w:pPr>
              <w:pStyle w:val="TableBlock"/>
            </w:pPr>
            <w:r>
              <w:rPr>
                <w:sz w:val="26"/>
                <w:rtl/>
              </w:rPr>
              <w:t>(1)</w:t>
            </w:r>
            <w:r>
              <w:rPr>
                <w:sz w:val="26"/>
                <w:rtl/>
              </w:rPr>
              <w:tab/>
              <w:t xml:space="preserve">מעשה שנעשה בקשר עם מילוי תפקידו או תוך שימוש במעמדו כעובד הציבור, בהיותו במצב של ניגוד עניינים מהותי; </w:t>
            </w:r>
            <w:r>
              <w:rPr>
                <w:rStyle w:val="a"/>
                <w:rFonts w:ascii="Arial"/>
                <w:b w:val="0"/>
                <w:color w:val="auto"/>
                <w:sz w:val="26"/>
                <w:rtl/>
              </w:rPr>
              <w:t xml:space="preserve">בסעיף זה, "ניגוד עניינים מהותי" – </w:t>
            </w:r>
            <w:r>
              <w:rPr>
                <w:sz w:val="26"/>
                <w:rtl/>
              </w:rPr>
              <w:t>מצב שבו נמצא אדם כאשר לו, לבן משפחתו, לתאגיד שבו הוא חבר, מתעתד להיות חבר בו או מקורב אליו, או לאדם הקרוב אליו אישית או עסקית, יש אינטרס כלכלי נקודתי העלול להיות מושפע ישירות מהפעולה השלטונית, או אינטרס אישי משמעותי אחר, העלול להיות מושפע ישירות מהפעולה השלטונית;</w:t>
            </w:r>
          </w:p>
        </w:tc>
      </w:tr>
      <w:tr w:rsidR="004E1FE5" w:rsidTr="003501EE">
        <w:trPr>
          <w:cantSplit/>
        </w:trPr>
        <w:tc>
          <w:tcPr>
            <w:tcW w:w="1869" w:type="dxa"/>
            <w:tcBorders>
              <w:top w:val="nil"/>
              <w:left w:val="nil"/>
              <w:bottom w:val="nil"/>
              <w:right w:val="nil"/>
            </w:tcBorders>
          </w:tcPr>
          <w:p w:rsidR="004E1FE5" w:rsidRDefault="004E1FE5" w:rsidP="001025F7">
            <w:pPr>
              <w:pStyle w:val="TableSideHeading"/>
            </w:pPr>
          </w:p>
        </w:tc>
        <w:tc>
          <w:tcPr>
            <w:tcW w:w="623"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4024" w:type="dxa"/>
            <w:tcBorders>
              <w:top w:val="nil"/>
              <w:left w:val="nil"/>
              <w:bottom w:val="nil"/>
              <w:right w:val="nil"/>
            </w:tcBorders>
          </w:tcPr>
          <w:p w:rsidR="004E1FE5" w:rsidRDefault="004E1FE5" w:rsidP="003501EE">
            <w:pPr>
              <w:pStyle w:val="TableBlock"/>
              <w:rPr>
                <w:sz w:val="26"/>
                <w:rtl/>
              </w:rPr>
            </w:pPr>
            <w:r>
              <w:rPr>
                <w:sz w:val="26"/>
                <w:rtl/>
              </w:rPr>
              <w:t xml:space="preserve">(2) </w:t>
            </w:r>
            <w:r>
              <w:rPr>
                <w:sz w:val="26"/>
                <w:rtl/>
              </w:rPr>
              <w:tab/>
              <w:t>קבלת טובת הנאה אשר ניתנה לו או לבן משפחתו, באשר הוא עובד הציבור, למעט קבלת טובת הנאה המותרת על פי דין; בסעיף זה, "בן משפחה" – בן זוג, הורה, הורה של בן זוג, בן, אח, סב, נכד, וכן בן או בן זוג של כל אחד מאלה;</w:t>
            </w:r>
          </w:p>
        </w:tc>
      </w:tr>
      <w:tr w:rsidR="004E1FE5" w:rsidTr="003501EE">
        <w:trPr>
          <w:cantSplit/>
        </w:trPr>
        <w:tc>
          <w:tcPr>
            <w:tcW w:w="1869" w:type="dxa"/>
            <w:tcBorders>
              <w:top w:val="nil"/>
              <w:left w:val="nil"/>
              <w:bottom w:val="nil"/>
              <w:right w:val="nil"/>
            </w:tcBorders>
          </w:tcPr>
          <w:p w:rsidR="004E1FE5" w:rsidRDefault="004E1FE5" w:rsidP="001025F7">
            <w:pPr>
              <w:pStyle w:val="TableSideHeading"/>
            </w:pPr>
          </w:p>
        </w:tc>
        <w:tc>
          <w:tcPr>
            <w:tcW w:w="623"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4024" w:type="dxa"/>
            <w:tcBorders>
              <w:top w:val="nil"/>
              <w:left w:val="nil"/>
              <w:right w:val="nil"/>
            </w:tcBorders>
          </w:tcPr>
          <w:p w:rsidR="004E1FE5" w:rsidRDefault="004E1FE5" w:rsidP="003501EE">
            <w:pPr>
              <w:pStyle w:val="TableBlock"/>
              <w:rPr>
                <w:sz w:val="26"/>
                <w:rtl/>
              </w:rPr>
            </w:pPr>
            <w:r>
              <w:rPr>
                <w:sz w:val="26"/>
                <w:rtl/>
              </w:rPr>
              <w:t>(3)</w:t>
            </w:r>
            <w:r>
              <w:rPr>
                <w:sz w:val="26"/>
                <w:rtl/>
              </w:rPr>
              <w:tab/>
              <w:t>שימוש במידע פנים שלטוני שהגיע לעובד הציבור במסגרת תפקידו שלא למטרה ציבורית, לרבות העברת מידע כאמור לאחר, והכל לשם קידום עניין אישי;</w:t>
            </w:r>
            <w:r w:rsidR="003501EE">
              <w:rPr>
                <w:sz w:val="26"/>
                <w:rtl/>
              </w:rPr>
              <w:t xml:space="preserve">  </w:t>
            </w:r>
            <w:r>
              <w:rPr>
                <w:sz w:val="26"/>
                <w:rtl/>
              </w:rPr>
              <w:t>בסעיף זה, "מידע פנים שלטוני" – מידע שלא פורסם לציבור, ולא היה אמור להתפרסם באותה עת, ואשר תוכנו, צורתו, מקורו, נסיבות קבלתו או סדרי החזקתו מעידים על החובה לשמרו בסוד, אף אם המידע עתיד להתפרסם.</w:t>
            </w:r>
          </w:p>
        </w:tc>
      </w:tr>
      <w:tr w:rsidR="004E1FE5" w:rsidTr="003501EE">
        <w:trPr>
          <w:cantSplit/>
        </w:trPr>
        <w:tc>
          <w:tcPr>
            <w:tcW w:w="1869" w:type="dxa"/>
            <w:tcBorders>
              <w:top w:val="nil"/>
              <w:left w:val="nil"/>
              <w:bottom w:val="nil"/>
              <w:right w:val="nil"/>
            </w:tcBorders>
          </w:tcPr>
          <w:p w:rsidR="004E1FE5" w:rsidRPr="00034A67" w:rsidRDefault="004E1FE5" w:rsidP="001025F7">
            <w:pPr>
              <w:pStyle w:val="TableSideHeading"/>
            </w:pPr>
          </w:p>
        </w:tc>
        <w:tc>
          <w:tcPr>
            <w:tcW w:w="623"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4648" w:type="dxa"/>
            <w:gridSpan w:val="2"/>
            <w:tcBorders>
              <w:top w:val="nil"/>
              <w:left w:val="nil"/>
              <w:bottom w:val="nil"/>
              <w:right w:val="nil"/>
            </w:tcBorders>
          </w:tcPr>
          <w:p w:rsidR="004E1FE5" w:rsidRDefault="004E1FE5" w:rsidP="003501EE">
            <w:pPr>
              <w:pStyle w:val="TableBlock"/>
            </w:pPr>
            <w:r>
              <w:rPr>
                <w:sz w:val="26"/>
                <w:rtl/>
              </w:rPr>
              <w:t>(ב)</w:t>
            </w:r>
            <w:r>
              <w:rPr>
                <w:sz w:val="26"/>
                <w:rtl/>
              </w:rPr>
              <w:tab/>
              <w:t>באישום לפי סעיף קטן (א) תהא הגנה טובה לנאשם אם יוכיח אחד מאלה:</w:t>
            </w:r>
          </w:p>
        </w:tc>
      </w:tr>
      <w:tr w:rsidR="004E1FE5" w:rsidTr="003501EE">
        <w:trPr>
          <w:cantSplit/>
        </w:trPr>
        <w:tc>
          <w:tcPr>
            <w:tcW w:w="1869" w:type="dxa"/>
            <w:tcBorders>
              <w:top w:val="nil"/>
              <w:left w:val="nil"/>
              <w:bottom w:val="nil"/>
              <w:right w:val="nil"/>
            </w:tcBorders>
          </w:tcPr>
          <w:p w:rsidR="004E1FE5" w:rsidRDefault="004E1FE5" w:rsidP="001025F7">
            <w:pPr>
              <w:pStyle w:val="TableSideHeading"/>
            </w:pPr>
          </w:p>
        </w:tc>
        <w:tc>
          <w:tcPr>
            <w:tcW w:w="623"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4024" w:type="dxa"/>
            <w:tcBorders>
              <w:top w:val="nil"/>
              <w:left w:val="nil"/>
              <w:bottom w:val="nil"/>
              <w:right w:val="nil"/>
            </w:tcBorders>
          </w:tcPr>
          <w:p w:rsidR="004E1FE5" w:rsidRDefault="004E1FE5" w:rsidP="003501EE">
            <w:pPr>
              <w:pStyle w:val="TableBlock"/>
            </w:pPr>
            <w:r>
              <w:rPr>
                <w:sz w:val="26"/>
                <w:rtl/>
              </w:rPr>
              <w:t>(1)</w:t>
            </w:r>
            <w:r>
              <w:rPr>
                <w:sz w:val="26"/>
                <w:rtl/>
              </w:rPr>
              <w:tab/>
              <w:t xml:space="preserve"> הוא ביצע את הפעולה השלטונית לאחר שקיבל אישור בכתב ומראש מהיועץ המשפטי לממשלה או מטעמו לעשותה;</w:t>
            </w:r>
          </w:p>
        </w:tc>
      </w:tr>
      <w:tr w:rsidR="004E1FE5" w:rsidTr="003501EE">
        <w:trPr>
          <w:cantSplit/>
        </w:trPr>
        <w:tc>
          <w:tcPr>
            <w:tcW w:w="1869" w:type="dxa"/>
            <w:tcBorders>
              <w:top w:val="nil"/>
              <w:left w:val="nil"/>
              <w:bottom w:val="nil"/>
              <w:right w:val="nil"/>
            </w:tcBorders>
          </w:tcPr>
          <w:p w:rsidR="004E1FE5" w:rsidRDefault="004E1FE5" w:rsidP="001025F7">
            <w:pPr>
              <w:pStyle w:val="TableSideHeading"/>
            </w:pPr>
          </w:p>
        </w:tc>
        <w:tc>
          <w:tcPr>
            <w:tcW w:w="623"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4024" w:type="dxa"/>
            <w:tcBorders>
              <w:top w:val="nil"/>
              <w:left w:val="nil"/>
              <w:bottom w:val="nil"/>
              <w:right w:val="nil"/>
            </w:tcBorders>
          </w:tcPr>
          <w:p w:rsidR="004E1FE5" w:rsidRDefault="004E1FE5" w:rsidP="003501EE">
            <w:pPr>
              <w:pStyle w:val="TableBlock"/>
              <w:rPr>
                <w:sz w:val="26"/>
                <w:rtl/>
              </w:rPr>
            </w:pPr>
            <w:r>
              <w:rPr>
                <w:sz w:val="26"/>
                <w:rtl/>
              </w:rPr>
              <w:t>(2)</w:t>
            </w:r>
            <w:r>
              <w:rPr>
                <w:sz w:val="26"/>
                <w:rtl/>
              </w:rPr>
              <w:tab/>
              <w:t xml:space="preserve"> הוא ביקש בכתב את אישור היועץ המשפטי לממשלה לעשיית הפעולה, מסר את מלוא המידע הרלוונטי ולא נענה בתוך חודש ימים ממועד קבלת הפנייה המלאה אצל היועץ </w:t>
            </w:r>
            <w:r w:rsidRPr="00D42F34">
              <w:rPr>
                <w:spacing w:val="-10"/>
                <w:sz w:val="26"/>
                <w:rtl/>
              </w:rPr>
              <w:t>המשפטי לממשלה; קיבל</w:t>
            </w:r>
            <w:r>
              <w:rPr>
                <w:sz w:val="26"/>
                <w:rtl/>
              </w:rPr>
              <w:t xml:space="preserve"> המבקש תשובה שלילית לאחר חלוף חודש ימים, יחול הפטור רק על פעולות שנעשו לפני שהתקבלה התשובה אצל המבקש;</w:t>
            </w:r>
          </w:p>
        </w:tc>
      </w:tr>
      <w:tr w:rsidR="004E1FE5" w:rsidTr="003501EE">
        <w:trPr>
          <w:cantSplit/>
        </w:trPr>
        <w:tc>
          <w:tcPr>
            <w:tcW w:w="1869" w:type="dxa"/>
            <w:tcBorders>
              <w:top w:val="nil"/>
              <w:left w:val="nil"/>
              <w:bottom w:val="nil"/>
              <w:right w:val="nil"/>
            </w:tcBorders>
          </w:tcPr>
          <w:p w:rsidR="004E1FE5" w:rsidRDefault="004E1FE5" w:rsidP="001025F7">
            <w:pPr>
              <w:pStyle w:val="TableSideHeading"/>
            </w:pPr>
          </w:p>
        </w:tc>
        <w:tc>
          <w:tcPr>
            <w:tcW w:w="623"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4024" w:type="dxa"/>
            <w:tcBorders>
              <w:top w:val="nil"/>
              <w:left w:val="nil"/>
              <w:bottom w:val="nil"/>
              <w:right w:val="nil"/>
            </w:tcBorders>
          </w:tcPr>
          <w:p w:rsidR="004E1FE5" w:rsidRDefault="004E1FE5" w:rsidP="003501EE">
            <w:pPr>
              <w:pStyle w:val="TableBlock"/>
              <w:rPr>
                <w:sz w:val="26"/>
                <w:rtl/>
              </w:rPr>
            </w:pPr>
            <w:r>
              <w:rPr>
                <w:sz w:val="26"/>
                <w:rtl/>
              </w:rPr>
              <w:t xml:space="preserve">(3) </w:t>
            </w:r>
            <w:r>
              <w:rPr>
                <w:sz w:val="26"/>
                <w:rtl/>
              </w:rPr>
              <w:tab/>
              <w:t xml:space="preserve">היועץ המשפטי לממשלה או גורם שהיועץ המשפטי לממשלה אצל לו את סמכותו לפי חוק זה פרסם, בכפוף לאישורה של ועדת </w:t>
            </w:r>
            <w:r w:rsidR="00034A67">
              <w:rPr>
                <w:sz w:val="26"/>
                <w:rtl/>
              </w:rPr>
              <w:t>ה</w:t>
            </w:r>
            <w:r>
              <w:rPr>
                <w:sz w:val="26"/>
                <w:rtl/>
              </w:rPr>
              <w:t xml:space="preserve">חוקה חוק ומשפט של הכנסת, רשימה מפורטת של אינטרסים כלכליים, אשר אין בהם כדי להשפיע על שיקול דעתו של עובד הציבור באופן העלול להעמידו במצב של הפרת אמונים, והאינטרס הכלכלי שבבסיס האישום נכלל ברשימה שפרסם היועץ המשפטי לממשלה; </w:t>
            </w:r>
          </w:p>
        </w:tc>
      </w:tr>
      <w:tr w:rsidR="004E1FE5" w:rsidTr="003501EE">
        <w:trPr>
          <w:cantSplit/>
        </w:trPr>
        <w:tc>
          <w:tcPr>
            <w:tcW w:w="1869" w:type="dxa"/>
            <w:tcBorders>
              <w:top w:val="nil"/>
              <w:left w:val="nil"/>
              <w:bottom w:val="nil"/>
              <w:right w:val="nil"/>
            </w:tcBorders>
          </w:tcPr>
          <w:p w:rsidR="004E1FE5" w:rsidRDefault="004E1FE5" w:rsidP="001025F7">
            <w:pPr>
              <w:pStyle w:val="TableSideHeading"/>
            </w:pPr>
          </w:p>
        </w:tc>
        <w:tc>
          <w:tcPr>
            <w:tcW w:w="623"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624" w:type="dxa"/>
            <w:tcBorders>
              <w:top w:val="nil"/>
              <w:left w:val="nil"/>
              <w:bottom w:val="nil"/>
              <w:right w:val="nil"/>
            </w:tcBorders>
          </w:tcPr>
          <w:p w:rsidR="004E1FE5" w:rsidRDefault="004E1FE5" w:rsidP="001025F7">
            <w:pPr>
              <w:pStyle w:val="TableText"/>
            </w:pPr>
          </w:p>
        </w:tc>
        <w:tc>
          <w:tcPr>
            <w:tcW w:w="4024" w:type="dxa"/>
            <w:tcBorders>
              <w:top w:val="nil"/>
              <w:left w:val="nil"/>
              <w:bottom w:val="nil"/>
              <w:right w:val="nil"/>
            </w:tcBorders>
          </w:tcPr>
          <w:p w:rsidR="004E1FE5" w:rsidRDefault="004E1FE5" w:rsidP="003501EE">
            <w:pPr>
              <w:pStyle w:val="TableBlock"/>
              <w:rPr>
                <w:sz w:val="26"/>
                <w:rtl/>
              </w:rPr>
            </w:pPr>
            <w:r>
              <w:rPr>
                <w:sz w:val="26"/>
                <w:rtl/>
              </w:rPr>
              <w:t>(4)</w:t>
            </w:r>
            <w:r>
              <w:rPr>
                <w:sz w:val="26"/>
                <w:rtl/>
              </w:rPr>
              <w:tab/>
              <w:t>הוא נדרש לבצע את הפעולה באופן מיידי בשל דחיפות העניין או שלא ניתן היה לאשר את הפעולה כאמור בפסקה (1) בשל נסיבות מיוחדות המצדיקות זאת, ועשה את המעשה מתוך אמונה סבירה ובתום לב בקיומה של הרשאה חוקית."</w:t>
            </w:r>
          </w:p>
        </w:tc>
      </w:tr>
      <w:tr w:rsidR="004E1FE5" w:rsidTr="003501EE">
        <w:trPr>
          <w:cantSplit/>
        </w:trPr>
        <w:tc>
          <w:tcPr>
            <w:tcW w:w="1869" w:type="dxa"/>
            <w:tcBorders>
              <w:top w:val="nil"/>
              <w:left w:val="nil"/>
              <w:bottom w:val="nil"/>
              <w:right w:val="nil"/>
            </w:tcBorders>
          </w:tcPr>
          <w:p w:rsidR="004E1FE5" w:rsidRDefault="004E1FE5" w:rsidP="001025F7">
            <w:pPr>
              <w:pStyle w:val="TableSideHeading"/>
            </w:pPr>
            <w:r>
              <w:rPr>
                <w:sz w:val="26"/>
                <w:rtl/>
              </w:rPr>
              <w:t>הוספת סעיפים 284א ו-284ב</w:t>
            </w:r>
          </w:p>
        </w:tc>
        <w:tc>
          <w:tcPr>
            <w:tcW w:w="623" w:type="dxa"/>
            <w:tcBorders>
              <w:top w:val="nil"/>
              <w:left w:val="nil"/>
              <w:bottom w:val="nil"/>
              <w:right w:val="nil"/>
            </w:tcBorders>
          </w:tcPr>
          <w:p w:rsidR="004E1FE5" w:rsidRDefault="004E1FE5" w:rsidP="001025F7">
            <w:pPr>
              <w:pStyle w:val="TableText"/>
            </w:pPr>
            <w:r>
              <w:rPr>
                <w:sz w:val="26"/>
                <w:rtl/>
              </w:rPr>
              <w:t>2.</w:t>
            </w:r>
          </w:p>
        </w:tc>
        <w:tc>
          <w:tcPr>
            <w:tcW w:w="7144" w:type="dxa"/>
            <w:gridSpan w:val="6"/>
            <w:tcBorders>
              <w:top w:val="nil"/>
              <w:left w:val="nil"/>
              <w:bottom w:val="nil"/>
              <w:right w:val="nil"/>
            </w:tcBorders>
          </w:tcPr>
          <w:p w:rsidR="004E1FE5" w:rsidRDefault="004E1FE5" w:rsidP="003501EE">
            <w:pPr>
              <w:pStyle w:val="TableBlock"/>
            </w:pPr>
            <w:r>
              <w:rPr>
                <w:sz w:val="26"/>
                <w:rtl/>
              </w:rPr>
              <w:t>אחרי סעיף 284 לחוק העיקרי יבוא:</w:t>
            </w:r>
          </w:p>
        </w:tc>
      </w:tr>
      <w:tr w:rsidR="004E1FE5" w:rsidTr="003501EE">
        <w:trPr>
          <w:cantSplit/>
        </w:trPr>
        <w:tc>
          <w:tcPr>
            <w:tcW w:w="1869" w:type="dxa"/>
            <w:tcBorders>
              <w:top w:val="nil"/>
              <w:left w:val="nil"/>
              <w:bottom w:val="nil"/>
              <w:right w:val="nil"/>
            </w:tcBorders>
          </w:tcPr>
          <w:p w:rsidR="004E1FE5" w:rsidRDefault="004E1FE5" w:rsidP="001025F7">
            <w:pPr>
              <w:pStyle w:val="TableSideHeading"/>
              <w:keepLines w:val="0"/>
            </w:pPr>
          </w:p>
        </w:tc>
        <w:tc>
          <w:tcPr>
            <w:tcW w:w="623" w:type="dxa"/>
            <w:tcBorders>
              <w:top w:val="nil"/>
              <w:left w:val="nil"/>
              <w:bottom w:val="nil"/>
              <w:right w:val="nil"/>
            </w:tcBorders>
          </w:tcPr>
          <w:p w:rsidR="004E1FE5" w:rsidRDefault="004E1FE5" w:rsidP="001025F7">
            <w:pPr>
              <w:pStyle w:val="TableText"/>
              <w:keepLines w:val="0"/>
            </w:pPr>
          </w:p>
        </w:tc>
        <w:tc>
          <w:tcPr>
            <w:tcW w:w="1872" w:type="dxa"/>
            <w:gridSpan w:val="3"/>
            <w:tcBorders>
              <w:top w:val="nil"/>
              <w:left w:val="nil"/>
              <w:bottom w:val="nil"/>
              <w:right w:val="nil"/>
            </w:tcBorders>
          </w:tcPr>
          <w:p w:rsidR="004E1FE5" w:rsidRDefault="004E1FE5" w:rsidP="001025F7">
            <w:pPr>
              <w:pStyle w:val="TableInnerSideHeading"/>
            </w:pPr>
            <w:r>
              <w:rPr>
                <w:sz w:val="26"/>
                <w:rtl/>
              </w:rPr>
              <w:t>"מרמה של עובד הציבור</w:t>
            </w:r>
          </w:p>
        </w:tc>
        <w:tc>
          <w:tcPr>
            <w:tcW w:w="624" w:type="dxa"/>
            <w:tcBorders>
              <w:top w:val="nil"/>
              <w:left w:val="nil"/>
              <w:bottom w:val="nil"/>
              <w:right w:val="nil"/>
            </w:tcBorders>
          </w:tcPr>
          <w:p w:rsidR="004E1FE5" w:rsidRDefault="004E1FE5" w:rsidP="001025F7">
            <w:pPr>
              <w:pStyle w:val="TableText"/>
            </w:pPr>
            <w:r>
              <w:rPr>
                <w:sz w:val="26"/>
                <w:rtl/>
              </w:rPr>
              <w:t>284א.</w:t>
            </w:r>
          </w:p>
        </w:tc>
        <w:tc>
          <w:tcPr>
            <w:tcW w:w="4648" w:type="dxa"/>
            <w:gridSpan w:val="2"/>
            <w:tcBorders>
              <w:top w:val="nil"/>
              <w:left w:val="nil"/>
              <w:bottom w:val="nil"/>
              <w:right w:val="nil"/>
            </w:tcBorders>
          </w:tcPr>
          <w:p w:rsidR="004E1FE5" w:rsidRDefault="004E1FE5" w:rsidP="003501EE">
            <w:pPr>
              <w:pStyle w:val="TableBlock"/>
            </w:pPr>
            <w:r>
              <w:rPr>
                <w:sz w:val="26"/>
                <w:rtl/>
              </w:rPr>
              <w:t>עובד הציבור העושה מעשה מרמה כהגדרתו בסעיף 414, שיש בו כדי לפגוע בערכים המוגנים, דינו – מאסר חמש שנים.</w:t>
            </w:r>
          </w:p>
        </w:tc>
      </w:tr>
      <w:tr w:rsidR="004E1FE5" w:rsidTr="003501EE">
        <w:trPr>
          <w:cantSplit/>
        </w:trPr>
        <w:tc>
          <w:tcPr>
            <w:tcW w:w="1869" w:type="dxa"/>
            <w:tcBorders>
              <w:top w:val="nil"/>
              <w:left w:val="nil"/>
              <w:bottom w:val="nil"/>
              <w:right w:val="nil"/>
            </w:tcBorders>
          </w:tcPr>
          <w:p w:rsidR="004E1FE5" w:rsidRDefault="004E1FE5" w:rsidP="001025F7">
            <w:pPr>
              <w:pStyle w:val="TableSideHeading"/>
              <w:keepLines w:val="0"/>
            </w:pPr>
          </w:p>
        </w:tc>
        <w:tc>
          <w:tcPr>
            <w:tcW w:w="623" w:type="dxa"/>
            <w:tcBorders>
              <w:top w:val="nil"/>
              <w:left w:val="nil"/>
              <w:bottom w:val="nil"/>
              <w:right w:val="nil"/>
            </w:tcBorders>
          </w:tcPr>
          <w:p w:rsidR="004E1FE5" w:rsidRDefault="004E1FE5" w:rsidP="001025F7">
            <w:pPr>
              <w:pStyle w:val="TableText"/>
              <w:keepLines w:val="0"/>
            </w:pPr>
          </w:p>
        </w:tc>
        <w:tc>
          <w:tcPr>
            <w:tcW w:w="1872" w:type="dxa"/>
            <w:gridSpan w:val="3"/>
            <w:tcBorders>
              <w:top w:val="nil"/>
              <w:left w:val="nil"/>
              <w:bottom w:val="nil"/>
              <w:right w:val="nil"/>
            </w:tcBorders>
          </w:tcPr>
          <w:p w:rsidR="004E1FE5" w:rsidRDefault="004E1FE5" w:rsidP="001025F7">
            <w:pPr>
              <w:pStyle w:val="TableInnerSideHeading"/>
            </w:pPr>
            <w:r>
              <w:rPr>
                <w:sz w:val="26"/>
                <w:rtl/>
              </w:rPr>
              <w:t>מרמה ציבורית</w:t>
            </w:r>
          </w:p>
        </w:tc>
        <w:tc>
          <w:tcPr>
            <w:tcW w:w="624" w:type="dxa"/>
            <w:tcBorders>
              <w:top w:val="nil"/>
              <w:left w:val="nil"/>
              <w:bottom w:val="nil"/>
              <w:right w:val="nil"/>
            </w:tcBorders>
          </w:tcPr>
          <w:p w:rsidR="004E1FE5" w:rsidRDefault="004E1FE5" w:rsidP="001025F7">
            <w:pPr>
              <w:pStyle w:val="TableText"/>
            </w:pPr>
            <w:r>
              <w:rPr>
                <w:sz w:val="26"/>
                <w:rtl/>
              </w:rPr>
              <w:t>284ב.</w:t>
            </w:r>
          </w:p>
        </w:tc>
        <w:tc>
          <w:tcPr>
            <w:tcW w:w="4648" w:type="dxa"/>
            <w:gridSpan w:val="2"/>
            <w:tcBorders>
              <w:top w:val="nil"/>
              <w:left w:val="nil"/>
              <w:bottom w:val="nil"/>
              <w:right w:val="nil"/>
            </w:tcBorders>
          </w:tcPr>
          <w:p w:rsidR="004E1FE5" w:rsidRDefault="004E1FE5" w:rsidP="003501EE">
            <w:pPr>
              <w:pStyle w:val="TableBlock"/>
            </w:pPr>
            <w:r>
              <w:rPr>
                <w:sz w:val="26"/>
                <w:rtl/>
              </w:rPr>
              <w:t>עובד הציבור העושה מעשה מרמה ציבורית, דינו – מאסר חמש שנים; בסעיף זה, "מרמה ציבורית" – יצירת מצג שווא בקשר עם מילוי תפקידו או תוך שימוש במעמדו כלפי עובד ציבור אחר, או מסירת דיווח כוזב לעובד ציבור אחר, לרבות הסתרת מידע שבנסיבות העניין היה מוטל עליו לגלותו לעובד הציבור האחר, כאשר יש בכך כדי להשפיע על שיקול דעתו של עובד הציבור האחר במילוי תפקידו."</w:t>
            </w:r>
          </w:p>
        </w:tc>
      </w:tr>
    </w:tbl>
    <w:p w:rsidR="004E1FE5" w:rsidRPr="00001CF8" w:rsidRDefault="004E1FE5" w:rsidP="004E1FE5">
      <w:pPr>
        <w:pStyle w:val="HeadDivreiHesber"/>
        <w:rPr>
          <w:bCs/>
          <w:rtl/>
        </w:rPr>
      </w:pPr>
      <w:r w:rsidRPr="00001CF8">
        <w:rPr>
          <w:rtl/>
        </w:rPr>
        <w:t>דברי הסבר</w:t>
      </w:r>
    </w:p>
    <w:p w:rsidR="004E1FE5" w:rsidRPr="0005409F" w:rsidRDefault="004E1FE5" w:rsidP="004E1FE5">
      <w:pPr>
        <w:pStyle w:val="Hesber"/>
        <w:rPr>
          <w:rtl/>
        </w:rPr>
      </w:pPr>
      <w:r w:rsidRPr="0005409F">
        <w:rPr>
          <w:rtl/>
        </w:rPr>
        <w:t xml:space="preserve">עבירת המרמה והפרת האמונים מסתמנת כאחד הכלים הפליליים העיקריים למלחמה בשחיתות הציבורית. מטרתו של תיקון זה היא להבהיר את מהותה של העבירה ואת גדריה, ולקדם את תכלית המלחמה בשחיתות. </w:t>
      </w:r>
    </w:p>
    <w:p w:rsidR="004E1FE5" w:rsidRDefault="004E1FE5" w:rsidP="004E1FE5">
      <w:pPr>
        <w:pStyle w:val="Hesber"/>
        <w:rPr>
          <w:rtl/>
        </w:rPr>
      </w:pPr>
    </w:p>
    <w:p w:rsidR="004E1FE5" w:rsidRPr="0005409F" w:rsidRDefault="004E1FE5" w:rsidP="004E1FE5">
      <w:pPr>
        <w:pStyle w:val="Hesber"/>
        <w:rPr>
          <w:rtl/>
        </w:rPr>
      </w:pPr>
      <w:r w:rsidRPr="0005409F">
        <w:rPr>
          <w:rtl/>
        </w:rPr>
        <w:lastRenderedPageBreak/>
        <w:t xml:space="preserve">נקודת המוצא של ההצעה טמונה בהפרדה שבין עבירת המרמה לעבירת הפרת האמונים. המצב הקיים, בו שתי עבירות אלה דרות יחדיו באותו הסעיף, יוצר עירוב מין בשאינו מינו. עובד </w:t>
      </w:r>
      <w:r>
        <w:rPr>
          <w:rtl/>
        </w:rPr>
        <w:t>ה</w:t>
      </w:r>
      <w:r w:rsidRPr="0005409F">
        <w:rPr>
          <w:rtl/>
        </w:rPr>
        <w:t xml:space="preserve">ציבור המבצע מעשה מרמה במסגרת מילוי תפקידו, מעורר שאלות </w:t>
      </w:r>
      <w:r w:rsidR="00034A67">
        <w:rPr>
          <w:rtl/>
        </w:rPr>
        <w:t>פליליות מיוחדות ונפרדות מהמקרים</w:t>
      </w:r>
      <w:r w:rsidRPr="0005409F">
        <w:rPr>
          <w:rtl/>
        </w:rPr>
        <w:t xml:space="preserve"> שבהם מדובר במעשה של הפרת האמונים בלבד. הפרדת העבירות תתרום להבהרת המצב המעורפל הנוכחי. בנוסף, אפשר יהיה, לאחר ההפרדה, להחמיר בענישת הנמצאים אשמים במרמה ולהעמיד את העונש בגינה על חמש שנים (במקום שלוש שנים כיום), לפי חוק שניתנת בו הגדרה מפורשת לעבירת המרמה בהקשר של עובד הציבור. </w:t>
      </w:r>
    </w:p>
    <w:p w:rsidR="004E1FE5" w:rsidRPr="0005409F" w:rsidRDefault="004E1FE5" w:rsidP="004E1FE5">
      <w:pPr>
        <w:pStyle w:val="Hesber"/>
        <w:rPr>
          <w:rtl/>
        </w:rPr>
      </w:pPr>
      <w:r w:rsidRPr="0005409F">
        <w:rPr>
          <w:rtl/>
        </w:rPr>
        <w:t>אשר לעבירת הפרת האמונים, מ</w:t>
      </w:r>
      <w:r>
        <w:rPr>
          <w:rtl/>
        </w:rPr>
        <w:t>וצע להגדיר את העבירה באופן מדוי</w:t>
      </w:r>
      <w:r w:rsidRPr="0005409F">
        <w:rPr>
          <w:rtl/>
        </w:rPr>
        <w:t xml:space="preserve">ק, תוך קביעת היסוד הנפשי הנדרש לשם הרשעה בה. </w:t>
      </w:r>
    </w:p>
    <w:p w:rsidR="004E1FE5" w:rsidRPr="0005409F" w:rsidRDefault="004E1FE5" w:rsidP="004E1FE5">
      <w:pPr>
        <w:pStyle w:val="Hesber"/>
        <w:rPr>
          <w:rtl/>
        </w:rPr>
      </w:pPr>
      <w:r w:rsidRPr="0005409F">
        <w:rPr>
          <w:rtl/>
        </w:rPr>
        <w:t xml:space="preserve">  יצוין, כי לצד האמצעי הפלילי, קיימים גם אמצעים משמעתיים ומ</w:t>
      </w:r>
      <w:r>
        <w:rPr>
          <w:rtl/>
        </w:rPr>
        <w:t>י</w:t>
      </w:r>
      <w:r w:rsidRPr="0005409F">
        <w:rPr>
          <w:rtl/>
        </w:rPr>
        <w:t xml:space="preserve">נהליים, שנועדו אף הם להתמודד עם מצבים בהם פגעו מעשיו של עובד הציבור באמון הציבור, בשירות הציבורי, או בפעילותו התקינה של השירות הציבורי. הצעת החוק נועדה, בין היתר, לחדד את ההבחנה בין מסלולים אלה ולהבהיר את הנסיבות בהן ראוי לעשות שימוש באמצעי הפלילי דווקא. ההפרדה בין עבירות הפרת האמונים והמרמה, הגדרתן באופן מדויק והבהרת היסוד הנפשי הנדרש לשם הרשעה בהן, קובעים באופן ברור את קו הגבול שבין הדין הפלילי לדין המשמעתי. </w:t>
      </w:r>
    </w:p>
    <w:p w:rsidR="004E1FE5" w:rsidRPr="0005409F" w:rsidRDefault="004E1FE5" w:rsidP="004E1FE5">
      <w:pPr>
        <w:pStyle w:val="Hesber"/>
        <w:rPr>
          <w:rtl/>
        </w:rPr>
      </w:pPr>
      <w:r w:rsidRPr="0005409F">
        <w:rPr>
          <w:rtl/>
        </w:rPr>
        <w:t xml:space="preserve">החוק המוצע מגדיר באופן מדויק את עבירת הפרת </w:t>
      </w:r>
      <w:r w:rsidR="00034A67">
        <w:rPr>
          <w:rtl/>
        </w:rPr>
        <w:t>ה</w:t>
      </w:r>
      <w:r w:rsidRPr="0005409F">
        <w:rPr>
          <w:rtl/>
        </w:rPr>
        <w:t xml:space="preserve">אמונים. בהגדרה מוצגים שלושה מקרים עקרוניים בהם מתרחשת פגיעה מהותית ב"ערכים המוגנים" להם מחויב עובד </w:t>
      </w:r>
      <w:r>
        <w:rPr>
          <w:rtl/>
        </w:rPr>
        <w:t>ה</w:t>
      </w:r>
      <w:r w:rsidRPr="0005409F">
        <w:rPr>
          <w:rtl/>
        </w:rPr>
        <w:t xml:space="preserve">ציבור: מעשה שנעשה במצב של ניגוד עניינים מהותי (מובאת בחוק המוצע הגדרה של מצב זה), קבלת טובת הנאה ושימוש במידע פנים שלטוני. לשם יצירת איזון, בחוק המוצע מובאת גם רשימת הגנות היוצרות מנגנון שיגן על עובד הציבור במקרים שמטבעם אין זה ראוי שיהוו עבירה פלילית של הפרת אמונים. </w:t>
      </w:r>
    </w:p>
    <w:p w:rsidR="004E1FE5" w:rsidRDefault="004E1FE5" w:rsidP="001229E6">
      <w:pPr>
        <w:pStyle w:val="Hesber"/>
        <w:rPr>
          <w:rtl/>
        </w:rPr>
      </w:pPr>
      <w:r w:rsidRPr="0005409F">
        <w:rPr>
          <w:rtl/>
        </w:rPr>
        <w:t>הצע</w:t>
      </w:r>
      <w:r w:rsidR="00223A92">
        <w:rPr>
          <w:rtl/>
        </w:rPr>
        <w:t>ו</w:t>
      </w:r>
      <w:r w:rsidRPr="0005409F">
        <w:rPr>
          <w:rtl/>
        </w:rPr>
        <w:t>ת חוק זה</w:t>
      </w:r>
      <w:r w:rsidR="00813699">
        <w:rPr>
          <w:rtl/>
        </w:rPr>
        <w:t>ות</w:t>
      </w:r>
      <w:r w:rsidRPr="0005409F">
        <w:rPr>
          <w:rtl/>
        </w:rPr>
        <w:t xml:space="preserve"> הונח</w:t>
      </w:r>
      <w:r w:rsidR="00813699">
        <w:rPr>
          <w:rtl/>
        </w:rPr>
        <w:t>ו</w:t>
      </w:r>
      <w:r w:rsidRPr="0005409F">
        <w:rPr>
          <w:rtl/>
        </w:rPr>
        <w:t xml:space="preserve"> על שולחן הכנסת השמונה-עשרה על ידי חברי הכנסת יוחנן פלסנר ויריב לוין (פ/2171/18</w:t>
      </w:r>
      <w:r w:rsidR="00813699">
        <w:rPr>
          <w:rtl/>
        </w:rPr>
        <w:t>), על שולחן הכנסת התשע</w:t>
      </w:r>
      <w:r w:rsidR="00223A92">
        <w:rPr>
          <w:rtl/>
        </w:rPr>
        <w:t>-</w:t>
      </w:r>
      <w:r w:rsidR="00813699">
        <w:rPr>
          <w:rtl/>
        </w:rPr>
        <w:t>עשרה על ידי חבר הכנסת יריב לוין וקבוצת חברי הכנסת (פ/1835/19)</w:t>
      </w:r>
      <w:r w:rsidR="001229E6">
        <w:rPr>
          <w:rtl/>
        </w:rPr>
        <w:t>,</w:t>
      </w:r>
      <w:r w:rsidR="00813699">
        <w:rPr>
          <w:rtl/>
        </w:rPr>
        <w:t xml:space="preserve"> ועל שולחן הכנסת העשרים על ידי חבר הכנסת יאיר לפיד וקבוצת חברי </w:t>
      </w:r>
      <w:r w:rsidR="00813699" w:rsidRPr="001229E6">
        <w:rPr>
          <w:rtl/>
        </w:rPr>
        <w:t>הכנסת (פ/</w:t>
      </w:r>
      <w:r w:rsidR="001229E6" w:rsidRPr="001229E6">
        <w:rPr>
          <w:rtl/>
        </w:rPr>
        <w:t>408/20</w:t>
      </w:r>
      <w:r w:rsidR="00813699" w:rsidRPr="001229E6">
        <w:rPr>
          <w:rtl/>
        </w:rPr>
        <w:t>).</w:t>
      </w:r>
    </w:p>
    <w:p w:rsidR="004E1FE5" w:rsidRDefault="004E1FE5" w:rsidP="004E1FE5">
      <w:pPr>
        <w:pStyle w:val="Hesber"/>
        <w:rPr>
          <w:rtl/>
        </w:rPr>
      </w:pPr>
    </w:p>
    <w:p w:rsidR="001229E6" w:rsidRDefault="001229E6" w:rsidP="004E1FE5">
      <w:pPr>
        <w:pStyle w:val="Hesber"/>
        <w:rPr>
          <w:rtl/>
        </w:rPr>
      </w:pPr>
    </w:p>
    <w:p w:rsidR="00223A92" w:rsidRPr="0022704F" w:rsidRDefault="00223A92" w:rsidP="00223A92">
      <w:pPr>
        <w:ind w:left="340" w:firstLine="0"/>
        <w:rPr>
          <w:rFonts w:cs="David"/>
          <w:snapToGrid w:val="0"/>
          <w:spacing w:val="0"/>
          <w:sz w:val="20"/>
          <w:szCs w:val="26"/>
          <w:rtl/>
        </w:rPr>
      </w:pPr>
      <w:r w:rsidRPr="0022704F">
        <w:rPr>
          <w:rFonts w:cs="David"/>
          <w:snapToGrid w:val="0"/>
          <w:spacing w:val="0"/>
          <w:sz w:val="20"/>
          <w:szCs w:val="26"/>
          <w:rtl/>
        </w:rPr>
        <w:t>---------------------------------</w:t>
      </w:r>
    </w:p>
    <w:p w:rsidR="00223A92" w:rsidRPr="0022704F" w:rsidRDefault="00223A92" w:rsidP="00223A92">
      <w:pPr>
        <w:ind w:left="340" w:firstLine="0"/>
        <w:rPr>
          <w:rFonts w:cs="David"/>
          <w:snapToGrid w:val="0"/>
          <w:spacing w:val="0"/>
          <w:sz w:val="20"/>
          <w:szCs w:val="26"/>
          <w:rtl/>
        </w:rPr>
      </w:pPr>
      <w:r w:rsidRPr="0022704F">
        <w:rPr>
          <w:rFonts w:cs="David" w:hint="cs"/>
          <w:snapToGrid w:val="0"/>
          <w:spacing w:val="0"/>
          <w:sz w:val="20"/>
          <w:szCs w:val="26"/>
          <w:rtl/>
        </w:rPr>
        <w:t>הוגשה</w:t>
      </w:r>
      <w:r w:rsidRPr="0022704F">
        <w:rPr>
          <w:rFonts w:cs="David"/>
          <w:snapToGrid w:val="0"/>
          <w:spacing w:val="0"/>
          <w:sz w:val="20"/>
          <w:szCs w:val="26"/>
          <w:rtl/>
        </w:rPr>
        <w:t xml:space="preserve"> </w:t>
      </w:r>
      <w:r w:rsidRPr="0022704F">
        <w:rPr>
          <w:rFonts w:cs="David" w:hint="cs"/>
          <w:snapToGrid w:val="0"/>
          <w:spacing w:val="0"/>
          <w:sz w:val="20"/>
          <w:szCs w:val="26"/>
          <w:rtl/>
        </w:rPr>
        <w:t>ליו</w:t>
      </w:r>
      <w:r w:rsidRPr="0022704F">
        <w:rPr>
          <w:rFonts w:cs="David"/>
          <w:snapToGrid w:val="0"/>
          <w:spacing w:val="0"/>
          <w:sz w:val="20"/>
          <w:szCs w:val="26"/>
          <w:rtl/>
        </w:rPr>
        <w:t>"</w:t>
      </w:r>
      <w:r w:rsidRPr="0022704F">
        <w:rPr>
          <w:rFonts w:cs="David" w:hint="cs"/>
          <w:snapToGrid w:val="0"/>
          <w:spacing w:val="0"/>
          <w:sz w:val="20"/>
          <w:szCs w:val="26"/>
          <w:rtl/>
        </w:rPr>
        <w:t>ר</w:t>
      </w:r>
      <w:r w:rsidRPr="0022704F">
        <w:rPr>
          <w:rFonts w:cs="David"/>
          <w:snapToGrid w:val="0"/>
          <w:spacing w:val="0"/>
          <w:sz w:val="20"/>
          <w:szCs w:val="26"/>
          <w:rtl/>
        </w:rPr>
        <w:t xml:space="preserve"> </w:t>
      </w:r>
      <w:r w:rsidRPr="0022704F">
        <w:rPr>
          <w:rFonts w:cs="David" w:hint="cs"/>
          <w:snapToGrid w:val="0"/>
          <w:spacing w:val="0"/>
          <w:sz w:val="20"/>
          <w:szCs w:val="26"/>
          <w:rtl/>
        </w:rPr>
        <w:t>הכנסת</w:t>
      </w:r>
      <w:r w:rsidRPr="0022704F">
        <w:rPr>
          <w:rFonts w:cs="David"/>
          <w:snapToGrid w:val="0"/>
          <w:spacing w:val="0"/>
          <w:sz w:val="20"/>
          <w:szCs w:val="26"/>
          <w:rtl/>
        </w:rPr>
        <w:t xml:space="preserve"> </w:t>
      </w:r>
      <w:r w:rsidRPr="0022704F">
        <w:rPr>
          <w:rFonts w:cs="David" w:hint="cs"/>
          <w:snapToGrid w:val="0"/>
          <w:spacing w:val="0"/>
          <w:sz w:val="20"/>
          <w:szCs w:val="26"/>
          <w:rtl/>
        </w:rPr>
        <w:t>והסגנים</w:t>
      </w:r>
    </w:p>
    <w:p w:rsidR="00223A92" w:rsidRPr="0022704F" w:rsidRDefault="00223A92" w:rsidP="00223A92">
      <w:pPr>
        <w:ind w:left="340" w:firstLine="0"/>
        <w:rPr>
          <w:rFonts w:cs="David"/>
          <w:snapToGrid w:val="0"/>
          <w:spacing w:val="0"/>
          <w:sz w:val="20"/>
          <w:szCs w:val="26"/>
          <w:rtl/>
        </w:rPr>
      </w:pPr>
      <w:r w:rsidRPr="0022704F">
        <w:rPr>
          <w:rFonts w:cs="David" w:hint="cs"/>
          <w:snapToGrid w:val="0"/>
          <w:spacing w:val="0"/>
          <w:sz w:val="20"/>
          <w:szCs w:val="26"/>
          <w:rtl/>
        </w:rPr>
        <w:t>והונחה</w:t>
      </w:r>
      <w:r w:rsidRPr="0022704F">
        <w:rPr>
          <w:rFonts w:cs="David"/>
          <w:snapToGrid w:val="0"/>
          <w:spacing w:val="0"/>
          <w:sz w:val="20"/>
          <w:szCs w:val="26"/>
          <w:rtl/>
        </w:rPr>
        <w:t xml:space="preserve"> </w:t>
      </w:r>
      <w:r w:rsidRPr="0022704F">
        <w:rPr>
          <w:rFonts w:cs="David" w:hint="cs"/>
          <w:snapToGrid w:val="0"/>
          <w:spacing w:val="0"/>
          <w:sz w:val="20"/>
          <w:szCs w:val="26"/>
          <w:rtl/>
        </w:rPr>
        <w:t>על</w:t>
      </w:r>
      <w:r w:rsidRPr="0022704F">
        <w:rPr>
          <w:rFonts w:cs="David"/>
          <w:snapToGrid w:val="0"/>
          <w:spacing w:val="0"/>
          <w:sz w:val="20"/>
          <w:szCs w:val="26"/>
          <w:rtl/>
        </w:rPr>
        <w:t xml:space="preserve"> </w:t>
      </w:r>
      <w:r w:rsidRPr="0022704F">
        <w:rPr>
          <w:rFonts w:cs="David" w:hint="cs"/>
          <w:snapToGrid w:val="0"/>
          <w:spacing w:val="0"/>
          <w:sz w:val="20"/>
          <w:szCs w:val="26"/>
          <w:rtl/>
        </w:rPr>
        <w:t>שולחן</w:t>
      </w:r>
      <w:r w:rsidRPr="0022704F">
        <w:rPr>
          <w:rFonts w:cs="David"/>
          <w:snapToGrid w:val="0"/>
          <w:spacing w:val="0"/>
          <w:sz w:val="20"/>
          <w:szCs w:val="26"/>
          <w:rtl/>
        </w:rPr>
        <w:t xml:space="preserve"> </w:t>
      </w:r>
      <w:r w:rsidRPr="0022704F">
        <w:rPr>
          <w:rFonts w:cs="David" w:hint="cs"/>
          <w:snapToGrid w:val="0"/>
          <w:spacing w:val="0"/>
          <w:sz w:val="20"/>
          <w:szCs w:val="26"/>
          <w:rtl/>
        </w:rPr>
        <w:t>הכנסת</w:t>
      </w:r>
      <w:r w:rsidRPr="0022704F">
        <w:rPr>
          <w:rFonts w:cs="David"/>
          <w:snapToGrid w:val="0"/>
          <w:spacing w:val="0"/>
          <w:sz w:val="20"/>
          <w:szCs w:val="26"/>
          <w:rtl/>
        </w:rPr>
        <w:t xml:space="preserve"> </w:t>
      </w:r>
      <w:r w:rsidRPr="0022704F">
        <w:rPr>
          <w:rFonts w:cs="David" w:hint="cs"/>
          <w:snapToGrid w:val="0"/>
          <w:spacing w:val="0"/>
          <w:sz w:val="20"/>
          <w:szCs w:val="26"/>
          <w:rtl/>
        </w:rPr>
        <w:t>ביום</w:t>
      </w:r>
    </w:p>
    <w:p w:rsidR="00223A92" w:rsidRPr="00935520" w:rsidRDefault="00223A92" w:rsidP="00223A92">
      <w:pPr>
        <w:ind w:left="340" w:firstLine="0"/>
        <w:rPr>
          <w:rFonts w:ascii="Arial" w:eastAsia="Arial Unicode MS" w:hAnsi="Arial" w:cs="David"/>
          <w:snapToGrid w:val="0"/>
          <w:spacing w:val="0"/>
          <w:sz w:val="20"/>
          <w:szCs w:val="26"/>
        </w:rPr>
      </w:pPr>
      <w:r>
        <w:rPr>
          <w:rFonts w:cs="David" w:hint="cs"/>
          <w:snapToGrid w:val="0"/>
          <w:spacing w:val="0"/>
          <w:sz w:val="20"/>
          <w:szCs w:val="26"/>
          <w:rtl/>
        </w:rPr>
        <w:t>ט</w:t>
      </w:r>
      <w:r>
        <w:rPr>
          <w:rFonts w:cs="David"/>
          <w:snapToGrid w:val="0"/>
          <w:spacing w:val="0"/>
          <w:sz w:val="20"/>
          <w:szCs w:val="26"/>
          <w:rtl/>
        </w:rPr>
        <w:t>"</w:t>
      </w:r>
      <w:r>
        <w:rPr>
          <w:rFonts w:cs="David" w:hint="cs"/>
          <w:snapToGrid w:val="0"/>
          <w:spacing w:val="0"/>
          <w:sz w:val="20"/>
          <w:szCs w:val="26"/>
          <w:rtl/>
        </w:rPr>
        <w:t>ו</w:t>
      </w:r>
      <w:r>
        <w:rPr>
          <w:rFonts w:cs="David"/>
          <w:snapToGrid w:val="0"/>
          <w:spacing w:val="0"/>
          <w:sz w:val="20"/>
          <w:szCs w:val="26"/>
          <w:rtl/>
        </w:rPr>
        <w:t xml:space="preserve"> </w:t>
      </w:r>
      <w:r>
        <w:rPr>
          <w:rFonts w:cs="David" w:hint="cs"/>
          <w:snapToGrid w:val="0"/>
          <w:spacing w:val="0"/>
          <w:sz w:val="20"/>
          <w:szCs w:val="26"/>
          <w:rtl/>
        </w:rPr>
        <w:t>באייר</w:t>
      </w:r>
      <w:r>
        <w:rPr>
          <w:rFonts w:cs="David"/>
          <w:snapToGrid w:val="0"/>
          <w:spacing w:val="0"/>
          <w:sz w:val="20"/>
          <w:szCs w:val="26"/>
          <w:rtl/>
        </w:rPr>
        <w:t xml:space="preserve"> </w:t>
      </w:r>
      <w:r>
        <w:rPr>
          <w:rFonts w:cs="David" w:hint="cs"/>
          <w:snapToGrid w:val="0"/>
          <w:spacing w:val="0"/>
          <w:sz w:val="20"/>
          <w:szCs w:val="26"/>
          <w:rtl/>
        </w:rPr>
        <w:t>התשע</w:t>
      </w:r>
      <w:r>
        <w:rPr>
          <w:rFonts w:cs="David"/>
          <w:snapToGrid w:val="0"/>
          <w:spacing w:val="0"/>
          <w:sz w:val="20"/>
          <w:szCs w:val="26"/>
          <w:rtl/>
        </w:rPr>
        <w:t>"</w:t>
      </w:r>
      <w:r>
        <w:rPr>
          <w:rFonts w:cs="David" w:hint="cs"/>
          <w:snapToGrid w:val="0"/>
          <w:spacing w:val="0"/>
          <w:sz w:val="20"/>
          <w:szCs w:val="26"/>
          <w:rtl/>
        </w:rPr>
        <w:t>ה</w:t>
      </w:r>
      <w:r w:rsidRPr="00935520">
        <w:rPr>
          <w:rFonts w:cs="David"/>
          <w:snapToGrid w:val="0"/>
          <w:spacing w:val="0"/>
          <w:sz w:val="20"/>
          <w:szCs w:val="26"/>
          <w:rtl/>
        </w:rPr>
        <w:t xml:space="preserve"> – </w:t>
      </w:r>
      <w:r>
        <w:rPr>
          <w:rFonts w:cs="David"/>
          <w:snapToGrid w:val="0"/>
          <w:spacing w:val="0"/>
          <w:sz w:val="20"/>
          <w:szCs w:val="26"/>
          <w:rtl/>
        </w:rPr>
        <w:t>4</w:t>
      </w:r>
      <w:r w:rsidRPr="00935520">
        <w:rPr>
          <w:rFonts w:cs="David"/>
          <w:snapToGrid w:val="0"/>
          <w:spacing w:val="0"/>
          <w:sz w:val="20"/>
          <w:szCs w:val="26"/>
          <w:rtl/>
        </w:rPr>
        <w:t>.</w:t>
      </w:r>
      <w:r>
        <w:rPr>
          <w:rFonts w:cs="David"/>
          <w:snapToGrid w:val="0"/>
          <w:spacing w:val="0"/>
          <w:sz w:val="20"/>
          <w:szCs w:val="26"/>
          <w:rtl/>
        </w:rPr>
        <w:t>5</w:t>
      </w:r>
      <w:r w:rsidRPr="00935520">
        <w:rPr>
          <w:rFonts w:cs="David"/>
          <w:snapToGrid w:val="0"/>
          <w:spacing w:val="0"/>
          <w:sz w:val="20"/>
          <w:szCs w:val="26"/>
          <w:rtl/>
        </w:rPr>
        <w:t>.</w:t>
      </w:r>
      <w:r>
        <w:rPr>
          <w:rFonts w:cs="David"/>
          <w:snapToGrid w:val="0"/>
          <w:spacing w:val="0"/>
          <w:sz w:val="20"/>
          <w:szCs w:val="26"/>
          <w:rtl/>
        </w:rPr>
        <w:t>15</w:t>
      </w:r>
    </w:p>
    <w:p w:rsidR="00E13C27" w:rsidRPr="00223A92" w:rsidRDefault="00E13C27" w:rsidP="00E13C27">
      <w:pPr>
        <w:pStyle w:val="Hesber"/>
        <w:rPr>
          <w:rtl/>
        </w:rPr>
      </w:pPr>
    </w:p>
    <w:sectPr w:rsidR="00E13C27" w:rsidRPr="00223A92"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DD4" w:rsidRDefault="00610DD4">
      <w:r>
        <w:separator/>
      </w:r>
    </w:p>
  </w:endnote>
  <w:endnote w:type="continuationSeparator" w:id="0">
    <w:p w:rsidR="00610DD4" w:rsidRDefault="0061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DavidMF">
    <w:altName w:val="Courier New"/>
    <w:panose1 w:val="00000000000000000000"/>
    <w:charset w:val="B1"/>
    <w:family w:val="auto"/>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623" w:rsidRDefault="001A0623" w:rsidP="001207F8">
    <w:pPr>
      <w:pStyle w:val="Footer"/>
      <w:framePr w:wrap="around" w:vAnchor="text" w:hAnchor="text" w:xAlign="center" w:y="1"/>
      <w:rPr>
        <w:rStyle w:val="PageNumber"/>
        <w:rFonts w:cs="Hadasa Roso SL"/>
      </w:rPr>
    </w:pPr>
    <w:r>
      <w:rPr>
        <w:rStyle w:val="PageNumber"/>
        <w:rFonts w:cs="Hadasa Roso SL"/>
      </w:rPr>
      <w:fldChar w:fldCharType="begin"/>
    </w:r>
    <w:r>
      <w:rPr>
        <w:rStyle w:val="PageNumber"/>
        <w:rFonts w:cs="Hadasa Roso SL"/>
      </w:rPr>
      <w:instrText xml:space="preserve">PAGE  </w:instrText>
    </w:r>
    <w:r>
      <w:rPr>
        <w:rStyle w:val="PageNumber"/>
        <w:rFonts w:cs="Hadasa Roso SL"/>
      </w:rPr>
      <w:fldChar w:fldCharType="end"/>
    </w:r>
  </w:p>
  <w:p w:rsidR="001A0623" w:rsidRDefault="001A0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623" w:rsidRDefault="001A0623" w:rsidP="001207F8">
    <w:pPr>
      <w:pStyle w:val="Footer"/>
      <w:framePr w:wrap="around" w:vAnchor="text" w:hAnchor="text" w:xAlign="center" w:y="1"/>
      <w:rPr>
        <w:rStyle w:val="PageNumber"/>
        <w:rFonts w:cs="Hadasa Roso SL"/>
      </w:rPr>
    </w:pPr>
    <w:r>
      <w:rPr>
        <w:rStyle w:val="PageNumber"/>
        <w:rFonts w:cs="Hadasa Roso SL"/>
      </w:rPr>
      <w:fldChar w:fldCharType="begin"/>
    </w:r>
    <w:r>
      <w:rPr>
        <w:rStyle w:val="PageNumber"/>
        <w:rFonts w:cs="Hadasa Roso SL"/>
      </w:rPr>
      <w:instrText xml:space="preserve">PAGE  </w:instrText>
    </w:r>
    <w:r>
      <w:rPr>
        <w:rStyle w:val="PageNumber"/>
        <w:rFonts w:cs="Hadasa Roso SL"/>
      </w:rPr>
      <w:fldChar w:fldCharType="separate"/>
    </w:r>
    <w:r w:rsidR="006938C5">
      <w:rPr>
        <w:rStyle w:val="PageNumber"/>
        <w:noProof/>
        <w:rtl/>
      </w:rPr>
      <w:t>4</w:t>
    </w:r>
    <w:r>
      <w:rPr>
        <w:rStyle w:val="PageNumber"/>
        <w:rFonts w:cs="Hadasa Roso SL"/>
      </w:rPr>
      <w:fldChar w:fldCharType="end"/>
    </w:r>
  </w:p>
  <w:p w:rsidR="001A0623" w:rsidRDefault="001A0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DD4" w:rsidRDefault="00610DD4">
      <w:r>
        <w:separator/>
      </w:r>
    </w:p>
  </w:footnote>
  <w:footnote w:type="continuationSeparator" w:id="0">
    <w:p w:rsidR="00610DD4" w:rsidRDefault="00610DD4">
      <w:r>
        <w:continuationSeparator/>
      </w:r>
    </w:p>
  </w:footnote>
  <w:footnote w:type="continuationNotice" w:id="1">
    <w:p w:rsidR="00610DD4" w:rsidRDefault="00610DD4"/>
  </w:footnote>
  <w:footnote w:id="2">
    <w:p w:rsidR="00000000" w:rsidRDefault="004E1FE5" w:rsidP="004E1FE5">
      <w:pPr>
        <w:pStyle w:val="FootnoteText"/>
      </w:pPr>
      <w:r>
        <w:rPr>
          <w:rStyle w:val="FootnoteReference"/>
          <w:rFonts w:cs="David"/>
        </w:rPr>
        <w:footnoteRef/>
      </w:r>
      <w:r>
        <w:rPr>
          <w:sz w:val="20"/>
          <w:rtl/>
        </w:rPr>
        <w:t xml:space="preserve"> ס"ח התשל"ז, עמ' 226.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pPr>
      <w:rPr>
        <w:rFonts w:cs="Times New Roman" w:hint="default"/>
      </w:rPr>
    </w:lvl>
    <w:lvl w:ilvl="1" w:tplc="49082BE6">
      <w:start w:val="1"/>
      <w:numFmt w:val="decimal"/>
      <w:lvlRestart w:val="0"/>
      <w:lvlText w:val="(%2)"/>
      <w:lvlJc w:val="left"/>
      <w:pPr>
        <w:tabs>
          <w:tab w:val="num" w:pos="1704"/>
        </w:tabs>
        <w:ind w:left="1080"/>
      </w:pPr>
      <w:rPr>
        <w:rFonts w:cs="Times New Roman" w:hint="default"/>
      </w:rPr>
    </w:lvl>
    <w:lvl w:ilvl="2" w:tplc="48C06176">
      <w:start w:val="1"/>
      <w:numFmt w:val="decimal"/>
      <w:lvlRestart w:val="0"/>
      <w:lvlText w:val="(%3)"/>
      <w:lvlJc w:val="left"/>
      <w:pPr>
        <w:tabs>
          <w:tab w:val="num" w:pos="2604"/>
        </w:tabs>
        <w:ind w:left="19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01CF8"/>
    <w:rsid w:val="00015B27"/>
    <w:rsid w:val="00034A67"/>
    <w:rsid w:val="0005409F"/>
    <w:rsid w:val="0007681A"/>
    <w:rsid w:val="000A542E"/>
    <w:rsid w:val="001025F7"/>
    <w:rsid w:val="00102B6B"/>
    <w:rsid w:val="001052D4"/>
    <w:rsid w:val="0010644B"/>
    <w:rsid w:val="001207F8"/>
    <w:rsid w:val="00121924"/>
    <w:rsid w:val="001229E6"/>
    <w:rsid w:val="001279A8"/>
    <w:rsid w:val="0014195F"/>
    <w:rsid w:val="00152609"/>
    <w:rsid w:val="00153E1B"/>
    <w:rsid w:val="001A0623"/>
    <w:rsid w:val="001C23B0"/>
    <w:rsid w:val="00203A7F"/>
    <w:rsid w:val="002200A1"/>
    <w:rsid w:val="00223A92"/>
    <w:rsid w:val="0022704F"/>
    <w:rsid w:val="002362BF"/>
    <w:rsid w:val="00241B97"/>
    <w:rsid w:val="00246756"/>
    <w:rsid w:val="00251E58"/>
    <w:rsid w:val="00254605"/>
    <w:rsid w:val="002728B4"/>
    <w:rsid w:val="0027600C"/>
    <w:rsid w:val="00292712"/>
    <w:rsid w:val="002A487D"/>
    <w:rsid w:val="002C2E29"/>
    <w:rsid w:val="002D1EE3"/>
    <w:rsid w:val="002F1D80"/>
    <w:rsid w:val="003232A2"/>
    <w:rsid w:val="00325C14"/>
    <w:rsid w:val="003501EE"/>
    <w:rsid w:val="003710F6"/>
    <w:rsid w:val="00386E88"/>
    <w:rsid w:val="00396585"/>
    <w:rsid w:val="003D74A0"/>
    <w:rsid w:val="004033D8"/>
    <w:rsid w:val="004073F0"/>
    <w:rsid w:val="00412A7D"/>
    <w:rsid w:val="00416B4D"/>
    <w:rsid w:val="00417CFC"/>
    <w:rsid w:val="004B24ED"/>
    <w:rsid w:val="004D2D82"/>
    <w:rsid w:val="004D3876"/>
    <w:rsid w:val="004E1FE5"/>
    <w:rsid w:val="004E4552"/>
    <w:rsid w:val="00553C9D"/>
    <w:rsid w:val="00562A66"/>
    <w:rsid w:val="005B064E"/>
    <w:rsid w:val="005C1FC4"/>
    <w:rsid w:val="005D51AE"/>
    <w:rsid w:val="00610DD4"/>
    <w:rsid w:val="0062674B"/>
    <w:rsid w:val="006363B2"/>
    <w:rsid w:val="00644940"/>
    <w:rsid w:val="006818A9"/>
    <w:rsid w:val="006938C5"/>
    <w:rsid w:val="006A2D81"/>
    <w:rsid w:val="006C1D0D"/>
    <w:rsid w:val="0070601E"/>
    <w:rsid w:val="00712C72"/>
    <w:rsid w:val="00735FE9"/>
    <w:rsid w:val="00763CAA"/>
    <w:rsid w:val="00765F66"/>
    <w:rsid w:val="007C3FA6"/>
    <w:rsid w:val="007D585A"/>
    <w:rsid w:val="007D5A12"/>
    <w:rsid w:val="007E59F9"/>
    <w:rsid w:val="00810BCD"/>
    <w:rsid w:val="00812C98"/>
    <w:rsid w:val="00813699"/>
    <w:rsid w:val="00814D92"/>
    <w:rsid w:val="0083181D"/>
    <w:rsid w:val="00874BBC"/>
    <w:rsid w:val="00892135"/>
    <w:rsid w:val="00895449"/>
    <w:rsid w:val="00897879"/>
    <w:rsid w:val="008A6870"/>
    <w:rsid w:val="008C2DDC"/>
    <w:rsid w:val="008C7516"/>
    <w:rsid w:val="008E6EC7"/>
    <w:rsid w:val="008F0D63"/>
    <w:rsid w:val="008F2C35"/>
    <w:rsid w:val="008F6665"/>
    <w:rsid w:val="0091204F"/>
    <w:rsid w:val="009203DB"/>
    <w:rsid w:val="00923CD4"/>
    <w:rsid w:val="00935520"/>
    <w:rsid w:val="00943386"/>
    <w:rsid w:val="009456B6"/>
    <w:rsid w:val="00957589"/>
    <w:rsid w:val="00966D06"/>
    <w:rsid w:val="00982412"/>
    <w:rsid w:val="00983A8D"/>
    <w:rsid w:val="009A7257"/>
    <w:rsid w:val="009D6E0A"/>
    <w:rsid w:val="00A13510"/>
    <w:rsid w:val="00A14672"/>
    <w:rsid w:val="00A26BD6"/>
    <w:rsid w:val="00A443CF"/>
    <w:rsid w:val="00A6611D"/>
    <w:rsid w:val="00A82CB7"/>
    <w:rsid w:val="00AA2F03"/>
    <w:rsid w:val="00AC36F7"/>
    <w:rsid w:val="00AC63A4"/>
    <w:rsid w:val="00AD239E"/>
    <w:rsid w:val="00B10265"/>
    <w:rsid w:val="00B21211"/>
    <w:rsid w:val="00B35784"/>
    <w:rsid w:val="00B54A10"/>
    <w:rsid w:val="00B733A7"/>
    <w:rsid w:val="00B975AD"/>
    <w:rsid w:val="00BC45FB"/>
    <w:rsid w:val="00BF148D"/>
    <w:rsid w:val="00C23B1A"/>
    <w:rsid w:val="00C310EB"/>
    <w:rsid w:val="00C9176A"/>
    <w:rsid w:val="00CF1AA2"/>
    <w:rsid w:val="00D0427F"/>
    <w:rsid w:val="00D42F34"/>
    <w:rsid w:val="00D63620"/>
    <w:rsid w:val="00D8410D"/>
    <w:rsid w:val="00D867D7"/>
    <w:rsid w:val="00DB7060"/>
    <w:rsid w:val="00DE3153"/>
    <w:rsid w:val="00E06736"/>
    <w:rsid w:val="00E13C27"/>
    <w:rsid w:val="00E33BBD"/>
    <w:rsid w:val="00E45103"/>
    <w:rsid w:val="00E665B9"/>
    <w:rsid w:val="00EA01E6"/>
    <w:rsid w:val="00EA3DE8"/>
    <w:rsid w:val="00EA758F"/>
    <w:rsid w:val="00ED4A6F"/>
    <w:rsid w:val="00EF3A3A"/>
    <w:rsid w:val="00F15A8C"/>
    <w:rsid w:val="00F628D6"/>
    <w:rsid w:val="00F67051"/>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75EC955D-60A5-4FEA-9737-4AB75B3D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EE"/>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customStyle="1" w:styleId="Cover1-Reshumot">
    <w:name w:val="Cover 1-Reshumot"/>
    <w:basedOn w:val="Normal"/>
    <w:rsid w:val="003501EE"/>
    <w:pPr>
      <w:tabs>
        <w:tab w:val="left" w:pos="1191"/>
        <w:tab w:val="left" w:pos="1587"/>
      </w:tabs>
      <w:snapToGrid w:val="0"/>
      <w:spacing w:before="240" w:after="240" w:line="480" w:lineRule="auto"/>
      <w:ind w:firstLine="0"/>
      <w:jc w:val="center"/>
    </w:pPr>
    <w:rPr>
      <w:rFonts w:ascii="Arial" w:eastAsia="Arial Unicode MS" w:hAnsi="Arial" w:cs="David"/>
      <w:spacing w:val="0"/>
      <w:sz w:val="20"/>
      <w:szCs w:val="26"/>
    </w:rPr>
  </w:style>
  <w:style w:type="paragraph" w:customStyle="1" w:styleId="Cover2-HatzaotHok">
    <w:name w:val="Cover 2-HatzaotHok"/>
    <w:basedOn w:val="Cover1-Reshumot"/>
    <w:rsid w:val="003501EE"/>
    <w:rPr>
      <w:sz w:val="36"/>
      <w:szCs w:val="52"/>
    </w:rPr>
  </w:style>
  <w:style w:type="paragraph" w:customStyle="1" w:styleId="Cover3-Haknesset">
    <w:name w:val="Cover 3-Haknesset"/>
    <w:basedOn w:val="Cover1-Reshumot"/>
    <w:rsid w:val="003501EE"/>
    <w:rPr>
      <w:b/>
      <w:bCs/>
      <w:spacing w:val="60"/>
    </w:rPr>
  </w:style>
  <w:style w:type="paragraph" w:customStyle="1" w:styleId="Cover4-Date">
    <w:name w:val="Cover 4-Date"/>
    <w:basedOn w:val="Normal"/>
    <w:rsid w:val="003501EE"/>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Normal"/>
    <w:rsid w:val="003501EE"/>
    <w:pPr>
      <w:keepNext/>
      <w:keepLines/>
      <w:pageBreakBefore/>
      <w:snapToGrid w:val="0"/>
      <w:spacing w:before="480" w:line="360" w:lineRule="auto"/>
      <w:ind w:firstLine="0"/>
    </w:pPr>
    <w:rPr>
      <w:rFonts w:ascii="Arial" w:eastAsia="Arial Unicode MS" w:hAnsi="Arial" w:cs="David"/>
      <w:b/>
      <w:bCs/>
      <w:spacing w:val="0"/>
      <w:sz w:val="20"/>
      <w:szCs w:val="26"/>
    </w:rPr>
  </w:style>
  <w:style w:type="paragraph" w:customStyle="1" w:styleId="HeadHatzaotHok">
    <w:name w:val="Head HatzaotHok"/>
    <w:basedOn w:val="Normal"/>
    <w:rsid w:val="003501EE"/>
    <w:pPr>
      <w:keepNext/>
      <w:keepLines/>
      <w:snapToGrid w:val="0"/>
      <w:spacing w:before="240" w:line="360" w:lineRule="auto"/>
      <w:ind w:firstLine="0"/>
      <w:jc w:val="center"/>
    </w:pPr>
    <w:rPr>
      <w:rFonts w:ascii="Arial" w:eastAsia="Arial Unicode MS" w:hAnsi="Arial" w:cs="David"/>
      <w:b/>
      <w:bCs/>
      <w:spacing w:val="0"/>
      <w:sz w:val="20"/>
      <w:szCs w:val="26"/>
    </w:rPr>
  </w:style>
  <w:style w:type="paragraph" w:customStyle="1" w:styleId="HeadHatzaotHok4Futer">
    <w:name w:val="Head HatzaotHok4Futer"/>
    <w:basedOn w:val="HeadHatzaotHok"/>
    <w:rsid w:val="003501EE"/>
    <w:pPr>
      <w:spacing w:before="120" w:after="120"/>
    </w:pPr>
    <w:rPr>
      <w:color w:val="FF0000"/>
      <w:w w:val="80"/>
    </w:rPr>
  </w:style>
  <w:style w:type="paragraph" w:styleId="EndnoteText">
    <w:name w:val="endnote text"/>
    <w:basedOn w:val="Normal"/>
    <w:link w:val="EndnoteTextChar"/>
    <w:uiPriority w:val="99"/>
    <w:semiHidden/>
    <w:rsid w:val="003501EE"/>
    <w:pPr>
      <w:ind w:left="227" w:hanging="227"/>
    </w:pPr>
    <w:rPr>
      <w:sz w:val="14"/>
      <w:szCs w:val="22"/>
    </w:rPr>
  </w:style>
  <w:style w:type="character" w:customStyle="1" w:styleId="EndnoteTextChar">
    <w:name w:val="Endnote Text Char"/>
    <w:basedOn w:val="DefaultParagraphFont"/>
    <w:link w:val="EndnoteText"/>
    <w:uiPriority w:val="99"/>
    <w:semiHidden/>
    <w:locked/>
    <w:rPr>
      <w:rFonts w:ascii="Hadasa Roso SL" w:hAnsi="Hadasa Roso SL" w:cs="Hadasa Roso SL"/>
      <w:color w:val="000000"/>
      <w:spacing w:val="1"/>
      <w:lang w:val="x-none" w:eastAsia="ja-JP"/>
    </w:rPr>
  </w:style>
  <w:style w:type="paragraph" w:customStyle="1" w:styleId="TableText">
    <w:name w:val="Table Text"/>
    <w:basedOn w:val="Normal"/>
    <w:rsid w:val="003501EE"/>
    <w:pPr>
      <w:keepLines/>
      <w:tabs>
        <w:tab w:val="left" w:pos="624"/>
        <w:tab w:val="left" w:pos="1247"/>
      </w:tabs>
      <w:snapToGrid w:val="0"/>
      <w:spacing w:before="0" w:line="360" w:lineRule="auto"/>
      <w:ind w:right="57" w:firstLine="0"/>
      <w:jc w:val="left"/>
    </w:pPr>
    <w:rPr>
      <w:rFonts w:ascii="Arial" w:eastAsia="Arial Unicode MS" w:hAnsi="Arial" w:cs="David"/>
      <w:spacing w:val="0"/>
      <w:sz w:val="20"/>
      <w:szCs w:val="26"/>
    </w:rPr>
  </w:style>
  <w:style w:type="paragraph" w:customStyle="1" w:styleId="TableSideHeading">
    <w:name w:val="Table SideHeading"/>
    <w:basedOn w:val="TableText"/>
    <w:rsid w:val="003501EE"/>
  </w:style>
  <w:style w:type="paragraph" w:customStyle="1" w:styleId="TableBlock">
    <w:name w:val="Table Block"/>
    <w:basedOn w:val="TableText"/>
    <w:rsid w:val="003501EE"/>
    <w:pPr>
      <w:ind w:right="0"/>
      <w:jc w:val="both"/>
    </w:pPr>
  </w:style>
  <w:style w:type="paragraph" w:customStyle="1" w:styleId="TableHead">
    <w:name w:val="Table Head"/>
    <w:basedOn w:val="TableText"/>
    <w:rsid w:val="003501EE"/>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3501EE"/>
  </w:style>
  <w:style w:type="paragraph" w:customStyle="1" w:styleId="Hesber">
    <w:name w:val="Hesber"/>
    <w:basedOn w:val="Normal"/>
    <w:rsid w:val="003501EE"/>
    <w:pPr>
      <w:snapToGrid w:val="0"/>
      <w:spacing w:before="0" w:line="360" w:lineRule="auto"/>
    </w:pPr>
    <w:rPr>
      <w:rFonts w:ascii="Arial" w:eastAsia="Arial Unicode MS" w:hAnsi="Arial" w:cs="David"/>
      <w:spacing w:val="0"/>
      <w:sz w:val="20"/>
      <w:szCs w:val="26"/>
    </w:rPr>
  </w:style>
  <w:style w:type="paragraph" w:styleId="FootnoteText">
    <w:name w:val="footnote text"/>
    <w:basedOn w:val="Normal"/>
    <w:link w:val="FootnoteTextChar"/>
    <w:autoRedefine/>
    <w:uiPriority w:val="99"/>
    <w:rsid w:val="003501EE"/>
    <w:pPr>
      <w:snapToGrid w:val="0"/>
      <w:spacing w:before="0" w:line="240" w:lineRule="auto"/>
      <w:ind w:left="227" w:hanging="227"/>
      <w:jc w:val="left"/>
    </w:pPr>
    <w:rPr>
      <w:rFonts w:ascii="Arial" w:eastAsia="Arial Unicode MS" w:hAnsi="Arial" w:cs="David"/>
      <w:spacing w:val="0"/>
      <w:sz w:val="14"/>
      <w:szCs w:val="20"/>
    </w:rPr>
  </w:style>
  <w:style w:type="character" w:customStyle="1" w:styleId="FootnoteTextChar">
    <w:name w:val="Footnote Text Char"/>
    <w:basedOn w:val="DefaultParagraphFont"/>
    <w:link w:val="FootnoteText"/>
    <w:uiPriority w:val="99"/>
    <w:locked/>
    <w:rsid w:val="004E1FE5"/>
    <w:rPr>
      <w:rFonts w:ascii="Arial" w:eastAsia="Arial Unicode MS" w:hAnsi="Arial" w:cs="David"/>
      <w:color w:val="000000"/>
      <w:sz w:val="14"/>
      <w:lang w:val="x-none" w:eastAsia="ja-JP" w:bidi="he-IL"/>
    </w:rPr>
  </w:style>
  <w:style w:type="character" w:customStyle="1" w:styleId="a">
    <w:name w:val="דוד מלך פינלנד בולד"/>
    <w:uiPriority w:val="99"/>
    <w:rsid w:val="004E1FE5"/>
    <w:rPr>
      <w:rFonts w:ascii="DavidMF"/>
      <w:b/>
      <w:lang w:bidi="he-IL"/>
    </w:rPr>
  </w:style>
  <w:style w:type="character" w:styleId="FootnoteReference">
    <w:name w:val="footnote reference"/>
    <w:basedOn w:val="DefaultParagraphFont"/>
    <w:uiPriority w:val="99"/>
    <w:rsid w:val="003501EE"/>
    <w:rPr>
      <w:rFonts w:cs="Times New Roman"/>
      <w:vertAlign w:val="superscript"/>
    </w:rPr>
  </w:style>
  <w:style w:type="paragraph" w:customStyle="1" w:styleId="HesberHeading">
    <w:name w:val="Hesber Heading"/>
    <w:basedOn w:val="Hesber"/>
    <w:rsid w:val="003501EE"/>
    <w:pPr>
      <w:tabs>
        <w:tab w:val="left" w:pos="624"/>
        <w:tab w:val="left" w:pos="1247"/>
      </w:tabs>
      <w:ind w:firstLine="0"/>
    </w:pPr>
    <w:rPr>
      <w:b/>
      <w:bCs/>
    </w:rPr>
  </w:style>
  <w:style w:type="paragraph" w:customStyle="1" w:styleId="HesberWriters">
    <w:name w:val="Hesber Writers"/>
    <w:basedOn w:val="Hesber"/>
    <w:rsid w:val="003501EE"/>
    <w:pPr>
      <w:spacing w:before="120" w:after="6000"/>
      <w:ind w:left="1418" w:firstLine="0"/>
      <w:jc w:val="right"/>
    </w:pPr>
    <w:rPr>
      <w:b/>
      <w:bCs/>
    </w:rPr>
  </w:style>
  <w:style w:type="paragraph" w:customStyle="1" w:styleId="Hesber1st">
    <w:name w:val="Hesber 1st"/>
    <w:basedOn w:val="Hesber"/>
    <w:rsid w:val="003501EE"/>
    <w:pPr>
      <w:tabs>
        <w:tab w:val="left" w:pos="680"/>
        <w:tab w:val="left" w:pos="1020"/>
      </w:tabs>
      <w:ind w:firstLine="0"/>
    </w:pPr>
  </w:style>
  <w:style w:type="character" w:styleId="EndnoteReference">
    <w:name w:val="endnote reference"/>
    <w:basedOn w:val="DefaultParagraphFont"/>
    <w:uiPriority w:val="99"/>
    <w:semiHidden/>
    <w:rsid w:val="003501EE"/>
    <w:rPr>
      <w:rFonts w:cs="Times New Roman"/>
      <w:vertAlign w:val="superscript"/>
    </w:rPr>
  </w:style>
  <w:style w:type="paragraph" w:customStyle="1" w:styleId="TableBlockOutdent">
    <w:name w:val="Table BlockOutdent"/>
    <w:basedOn w:val="TableBlock"/>
    <w:rsid w:val="003501EE"/>
    <w:pPr>
      <w:ind w:left="624" w:hanging="624"/>
    </w:pPr>
  </w:style>
  <w:style w:type="paragraph" w:styleId="Header">
    <w:name w:val="header"/>
    <w:basedOn w:val="Normal"/>
    <w:link w:val="HeaderChar"/>
    <w:uiPriority w:val="99"/>
    <w:rsid w:val="003501EE"/>
    <w:pPr>
      <w:tabs>
        <w:tab w:val="center" w:pos="4153"/>
        <w:tab w:val="right" w:pos="8306"/>
      </w:tabs>
    </w:pPr>
  </w:style>
  <w:style w:type="character" w:customStyle="1" w:styleId="HeaderChar">
    <w:name w:val="Header Char"/>
    <w:basedOn w:val="DefaultParagraphFont"/>
    <w:link w:val="Header"/>
    <w:uiPriority w:val="99"/>
    <w:semiHidden/>
    <w:locked/>
    <w:rPr>
      <w:rFonts w:ascii="Hadasa Roso SL" w:hAnsi="Hadasa Roso SL" w:cs="Hadasa Roso SL"/>
      <w:color w:val="000000"/>
      <w:spacing w:val="1"/>
      <w:sz w:val="17"/>
      <w:szCs w:val="17"/>
      <w:lang w:val="x-none" w:eastAsia="ja-JP"/>
    </w:rPr>
  </w:style>
  <w:style w:type="paragraph" w:styleId="Footer">
    <w:name w:val="footer"/>
    <w:basedOn w:val="Normal"/>
    <w:link w:val="FooterChar"/>
    <w:uiPriority w:val="99"/>
    <w:rsid w:val="003501EE"/>
    <w:pPr>
      <w:tabs>
        <w:tab w:val="center" w:pos="4153"/>
        <w:tab w:val="right" w:pos="8306"/>
      </w:tabs>
    </w:pPr>
  </w:style>
  <w:style w:type="character" w:customStyle="1" w:styleId="FooterChar">
    <w:name w:val="Footer Char"/>
    <w:basedOn w:val="DefaultParagraphFont"/>
    <w:link w:val="Footer"/>
    <w:uiPriority w:val="99"/>
    <w:semiHidden/>
    <w:locked/>
    <w:rPr>
      <w:rFonts w:ascii="Hadasa Roso SL" w:hAnsi="Hadasa Roso SL" w:cs="Hadasa Roso SL"/>
      <w:color w:val="000000"/>
      <w:spacing w:val="1"/>
      <w:sz w:val="17"/>
      <w:szCs w:val="17"/>
      <w:lang w:val="x-none" w:eastAsia="ja-JP"/>
    </w:rPr>
  </w:style>
  <w:style w:type="paragraph" w:customStyle="1" w:styleId="HeadDivreiHesber">
    <w:name w:val="Head DivreiHesber"/>
    <w:basedOn w:val="Normal"/>
    <w:rsid w:val="003501EE"/>
    <w:pPr>
      <w:snapToGrid w:val="0"/>
      <w:spacing w:before="360" w:after="120" w:line="360" w:lineRule="auto"/>
      <w:ind w:firstLine="0"/>
      <w:jc w:val="center"/>
    </w:pPr>
    <w:rPr>
      <w:rFonts w:ascii="Arial" w:eastAsia="Arial Unicode MS" w:hAnsi="Arial" w:cs="David"/>
      <w:b/>
      <w:spacing w:val="40"/>
      <w:sz w:val="20"/>
      <w:szCs w:val="26"/>
    </w:rPr>
  </w:style>
  <w:style w:type="paragraph" w:customStyle="1" w:styleId="Ragil">
    <w:name w:val="Ragil"/>
    <w:basedOn w:val="Normal"/>
    <w:rsid w:val="003501EE"/>
    <w:pPr>
      <w:snapToGrid w:val="0"/>
      <w:spacing w:before="0" w:line="360" w:lineRule="auto"/>
      <w:jc w:val="left"/>
    </w:pPr>
    <w:rPr>
      <w:rFonts w:ascii="Arial" w:eastAsia="Arial Unicode MS" w:hAnsi="Arial" w:cs="David"/>
      <w:spacing w:val="0"/>
      <w:sz w:val="20"/>
      <w:szCs w:val="26"/>
    </w:rPr>
  </w:style>
  <w:style w:type="paragraph" w:styleId="Title">
    <w:name w:val="Title"/>
    <w:basedOn w:val="Normal"/>
    <w:link w:val="TitleChar"/>
    <w:uiPriority w:val="10"/>
    <w:qFormat/>
    <w:rsid w:val="00943386"/>
    <w:pPr>
      <w:jc w:val="center"/>
    </w:pPr>
    <w:rPr>
      <w:rFonts w:cs="David"/>
      <w:b/>
      <w:bCs/>
      <w:sz w:val="28"/>
      <w:szCs w:val="28"/>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spacing w:val="1"/>
      <w:kern w:val="28"/>
      <w:sz w:val="32"/>
      <w:szCs w:val="32"/>
      <w:lang w:val="x-none" w:eastAsia="ja-JP"/>
    </w:rPr>
  </w:style>
  <w:style w:type="character" w:styleId="PageNumber">
    <w:name w:val="page number"/>
    <w:basedOn w:val="DefaultParagraphFont"/>
    <w:uiPriority w:val="99"/>
    <w:rsid w:val="003501EE"/>
    <w:rPr>
      <w:rFonts w:cs="Times New Roman"/>
    </w:rPr>
  </w:style>
  <w:style w:type="paragraph" w:customStyle="1" w:styleId="David">
    <w:name w:val="רגיל + (עברית ושפות אחרות) David"/>
    <w:aliases w:val="‏13 נק',מודגש,אחרי:  6 נק'"/>
    <w:basedOn w:val="Normal"/>
    <w:rsid w:val="001207F8"/>
    <w:pPr>
      <w:ind w:firstLine="0"/>
      <w:jc w:val="left"/>
    </w:pPr>
    <w:rPr>
      <w:rFonts w:cs="David"/>
      <w:sz w:val="26"/>
      <w:szCs w:val="26"/>
    </w:rPr>
  </w:style>
  <w:style w:type="paragraph" w:styleId="BalloonText">
    <w:name w:val="Balloon Text"/>
    <w:basedOn w:val="Normal"/>
    <w:link w:val="BalloonTextChar"/>
    <w:uiPriority w:val="99"/>
    <w:semiHidden/>
    <w:unhideWhenUsed/>
    <w:rsid w:val="00325C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5C14"/>
    <w:rPr>
      <w:rFonts w:ascii="Tahoma" w:hAnsi="Tahoma" w:cs="Tahoma"/>
      <w:color w:val="000000"/>
      <w:spacing w:val="1"/>
      <w:sz w:val="16"/>
      <w:szCs w:val="16"/>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7168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982F99BB-1F52-4BB8-A7E3-641ADEB28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4AFE3-9455-419C-8851-785A55F44517}">
  <ds:schemaRefs>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http://purl.org/dc/term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1D4AE20-66DF-4614-8C17-ABDF4C42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הצעת חוק העונשין (תיקון  מרמה והפרת אמונים), התשע"ה2015</vt:lpstr>
    </vt:vector>
  </TitlesOfParts>
  <Company>Knesset</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הצעת חוק העונשין (תיקון  מרמה והפרת אמונים), התשע"ה2015</dc:title>
  <dc:subject/>
  <dc:creator>מיקה צור</dc:creator>
  <cp:keywords/>
  <dc:description/>
  <cp:lastModifiedBy>Noa Zilberstein</cp:lastModifiedBy>
  <cp:revision>2</cp:revision>
  <cp:lastPrinted>2015-05-03T11:58:00Z</cp:lastPrinted>
  <dcterms:created xsi:type="dcterms:W3CDTF">2015-11-05T13:06:00Z</dcterms:created>
  <dcterms:modified xsi:type="dcterms:W3CDTF">2015-11-05T13:06:00Z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0354fdee-f711-4d2a-9cf2-2d1c4d9ac92a</vt:lpwstr>
  </property>
  <property fmtid="{D5CDD505-2E9C-101B-9397-08002B2CF9AE}" pid="4" name="SanhedrinDocumentType">
    <vt:r8>10</vt:r8>
  </property>
  <property fmtid="{D5CDD505-2E9C-101B-9397-08002B2CF9AE}" pid="5" name="SanhedrinItemID">
    <vt:r8>562789</vt:r8>
  </property>
  <property fmtid="{D5CDD505-2E9C-101B-9397-08002B2CF9AE}" pid="6" name="Autonumber">
    <vt:lpwstr>305182</vt:lpwstr>
  </property>
  <property fmtid="{D5CDD505-2E9C-101B-9397-08002B2CF9AE}" pid="7" name="title">
    <vt:lpwstr>הצעת חוק העונשין (תיקון  מרמה והפרת אמונים), התשע"ה2015</vt:lpwstr>
  </property>
  <property fmtid="{D5CDD505-2E9C-101B-9397-08002B2CF9AE}" pid="8" name="SDAuthor">
    <vt:lpwstr>אסף גולדפרב</vt:lpwstr>
  </property>
  <property fmtid="{D5CDD505-2E9C-101B-9397-08002B2CF9AE}" pid="9" name="SDDocDate">
    <vt:lpwstr>2015-04-12T13:32:46+03:00</vt:lpwstr>
  </property>
  <property fmtid="{D5CDD505-2E9C-101B-9397-08002B2CF9AE}" pid="10" name="LSITEMID">
    <vt:lpwstr>562789</vt:lpwstr>
  </property>
  <property fmtid="{D5CDD505-2E9C-101B-9397-08002B2CF9AE}" pid="11" name="LSSUBJECT">
    <vt:lpwstr>הצעת חוק העונשין (תיקון  מרמה והפרת אמונים), התשע"ה2015</vt:lpwstr>
  </property>
  <property fmtid="{D5CDD505-2E9C-101B-9397-08002B2CF9AE}" pid="12" name="LSKNESSETID">
    <vt:lpwstr>20</vt:lpwstr>
  </property>
  <property fmtid="{D5CDD505-2E9C-101B-9397-08002B2CF9AE}" pid="13" name="USNAME">
    <vt:lpwstr> </vt:lpwstr>
  </property>
  <property fmtid="{D5CDD505-2E9C-101B-9397-08002B2CF9AE}" pid="14" name="DTCOUNTER">
    <vt:lpwstr>846641</vt:lpwstr>
  </property>
  <property fmtid="{D5CDD505-2E9C-101B-9397-08002B2CF9AE}" pid="15" name="תאריך הנחה">
    <vt:lpwstr>05/04/2015</vt:lpwstr>
  </property>
  <property fmtid="{D5CDD505-2E9C-101B-9397-08002B2CF9AE}" pid="16" name="PLACE_DATE">
    <vt:lpwstr>04/05/2015 00:00:00</vt:lpwstr>
  </property>
  <property fmtid="{D5CDD505-2E9C-101B-9397-08002B2CF9AE}" pid="17" name="VAADA">
    <vt:lpwstr/>
  </property>
  <property fmtid="{D5CDD505-2E9C-101B-9397-08002B2CF9AE}" pid="18" name="YOZEMHATZAA_CHAKLIST">
    <vt:lpwstr>מיקי רוזנטל</vt:lpwstr>
  </property>
  <property fmtid="{D5CDD505-2E9C-101B-9397-08002B2CF9AE}" pid="19" name="YOZEMID">
    <vt:lpwstr>000023569</vt:lpwstr>
  </property>
  <property fmtid="{D5CDD505-2E9C-101B-9397-08002B2CF9AE}" pid="20" name="PROPOSER">
    <vt:lpwstr/>
  </property>
  <property fmtid="{D5CDD505-2E9C-101B-9397-08002B2CF9AE}" pid="21" name="PROPOSERID">
    <vt:lpwstr/>
  </property>
  <property fmtid="{D5CDD505-2E9C-101B-9397-08002B2CF9AE}" pid="22" name="MISHATZAATCHOK">
    <vt:lpwstr>פ/409/20</vt:lpwstr>
  </property>
</Properties>
</file>