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1B503" w14:textId="7E062CDD" w:rsidR="006B3B55" w:rsidRPr="00BA3778" w:rsidRDefault="00543790" w:rsidP="00A85159">
      <w:pPr>
        <w:jc w:val="center"/>
        <w:rPr>
          <w:rFonts w:ascii="Calibri Light" w:hAnsi="Calibri Light" w:cs="Calibri Light"/>
          <w:b/>
          <w:bCs/>
          <w:sz w:val="32"/>
          <w:szCs w:val="32"/>
          <w:u w:val="single"/>
          <w:rtl/>
        </w:rPr>
      </w:pPr>
      <w:r w:rsidRPr="00BA3778">
        <w:rPr>
          <w:rFonts w:ascii="Calibri Light" w:hAnsi="Calibri Light" w:cs="Calibri Light"/>
          <w:b/>
          <w:bCs/>
          <w:sz w:val="32"/>
          <w:szCs w:val="32"/>
          <w:u w:val="single"/>
          <w:rtl/>
        </w:rPr>
        <w:t>הודעה לתקשורת</w:t>
      </w:r>
    </w:p>
    <w:p w14:paraId="4DF40EF3" w14:textId="752F9F02" w:rsidR="00543790" w:rsidRPr="00BA3778" w:rsidRDefault="00543790" w:rsidP="00A85159">
      <w:pPr>
        <w:jc w:val="center"/>
        <w:rPr>
          <w:rFonts w:ascii="Calibri Light" w:hAnsi="Calibri Light" w:cs="Calibri Light"/>
          <w:b/>
          <w:bCs/>
          <w:sz w:val="32"/>
          <w:szCs w:val="32"/>
          <w:u w:val="single"/>
          <w:rtl/>
        </w:rPr>
      </w:pPr>
      <w:r w:rsidRPr="00BA3778">
        <w:rPr>
          <w:rFonts w:ascii="Calibri Light" w:hAnsi="Calibri Light" w:cs="Calibri Light"/>
          <w:b/>
          <w:bCs/>
          <w:sz w:val="32"/>
          <w:szCs w:val="32"/>
          <w:u w:val="single"/>
          <w:rtl/>
        </w:rPr>
        <w:t>דוח ה</w:t>
      </w:r>
      <w:r w:rsidRPr="00BA3778">
        <w:rPr>
          <w:rFonts w:ascii="Calibri Light" w:hAnsi="Calibri Light" w:cs="Calibri Light"/>
          <w:b/>
          <w:bCs/>
          <w:sz w:val="32"/>
          <w:szCs w:val="32"/>
          <w:u w:val="single"/>
        </w:rPr>
        <w:t>OECD</w:t>
      </w:r>
      <w:r w:rsidRPr="00BA3778">
        <w:rPr>
          <w:rFonts w:ascii="Calibri Light" w:hAnsi="Calibri Light" w:cs="Calibri Light"/>
          <w:b/>
          <w:bCs/>
          <w:sz w:val="32"/>
          <w:szCs w:val="32"/>
          <w:u w:val="single"/>
          <w:rtl/>
        </w:rPr>
        <w:t xml:space="preserve"> קובע: אגרות גודש מתוכננות היטב </w:t>
      </w:r>
      <w:r w:rsidR="0090359D">
        <w:rPr>
          <w:rFonts w:ascii="Calibri Light" w:hAnsi="Calibri Light" w:cs="Calibri Light" w:hint="cs"/>
          <w:b/>
          <w:bCs/>
          <w:sz w:val="32"/>
          <w:szCs w:val="32"/>
          <w:u w:val="single"/>
          <w:rtl/>
        </w:rPr>
        <w:t xml:space="preserve">יסייעו </w:t>
      </w:r>
      <w:r w:rsidRPr="00BA3778">
        <w:rPr>
          <w:rFonts w:ascii="Calibri Light" w:hAnsi="Calibri Light" w:cs="Calibri Light"/>
          <w:b/>
          <w:bCs/>
          <w:sz w:val="32"/>
          <w:szCs w:val="32"/>
          <w:u w:val="single"/>
          <w:rtl/>
        </w:rPr>
        <w:t xml:space="preserve">בהפחתת עומסי </w:t>
      </w:r>
      <w:r w:rsidR="0090359D">
        <w:rPr>
          <w:rFonts w:ascii="Calibri Light" w:hAnsi="Calibri Light" w:cs="Calibri Light" w:hint="cs"/>
          <w:b/>
          <w:bCs/>
          <w:sz w:val="32"/>
          <w:szCs w:val="32"/>
          <w:u w:val="single"/>
          <w:rtl/>
        </w:rPr>
        <w:t>ה</w:t>
      </w:r>
      <w:r w:rsidRPr="00BA3778">
        <w:rPr>
          <w:rFonts w:ascii="Calibri Light" w:hAnsi="Calibri Light" w:cs="Calibri Light"/>
          <w:b/>
          <w:bCs/>
          <w:sz w:val="32"/>
          <w:szCs w:val="32"/>
          <w:u w:val="single"/>
          <w:rtl/>
        </w:rPr>
        <w:t>תנועה</w:t>
      </w:r>
      <w:r w:rsidR="0090359D">
        <w:rPr>
          <w:rFonts w:ascii="Calibri Light" w:hAnsi="Calibri Light" w:cs="Calibri Light" w:hint="cs"/>
          <w:b/>
          <w:bCs/>
          <w:sz w:val="32"/>
          <w:szCs w:val="32"/>
          <w:u w:val="single"/>
          <w:rtl/>
        </w:rPr>
        <w:t xml:space="preserve"> בישראל</w:t>
      </w:r>
    </w:p>
    <w:p w14:paraId="7E2066DC" w14:textId="7BD995AF" w:rsidR="00A85159" w:rsidRPr="00BA3778" w:rsidRDefault="0090359D" w:rsidP="00543790">
      <w:pPr>
        <w:jc w:val="both"/>
        <w:rPr>
          <w:rFonts w:ascii="Calibri" w:hAnsi="Calibri" w:cs="Calibri Light"/>
          <w:rtl/>
        </w:rPr>
      </w:pPr>
      <w:r>
        <w:rPr>
          <w:rFonts w:ascii="Calibri" w:hAnsi="Calibri" w:cs="Calibri Light" w:hint="cs"/>
          <w:rtl/>
        </w:rPr>
        <w:t xml:space="preserve"> </w:t>
      </w:r>
      <w:r w:rsidR="00543790" w:rsidRPr="00BA3778">
        <w:rPr>
          <w:rFonts w:ascii="Calibri" w:hAnsi="Calibri" w:cs="Calibri Light"/>
          <w:rtl/>
        </w:rPr>
        <w:t>תל אביב, 1 בדצמבר 2019</w:t>
      </w:r>
    </w:p>
    <w:p w14:paraId="1ADD2AE5" w14:textId="22A7B3E4" w:rsidR="00543790" w:rsidRPr="00BA3778" w:rsidRDefault="00543790" w:rsidP="00543790">
      <w:pPr>
        <w:jc w:val="both"/>
        <w:rPr>
          <w:rFonts w:ascii="Calibri Light" w:hAnsi="Calibri Light" w:cs="Calibri Light"/>
          <w:rtl/>
        </w:rPr>
      </w:pPr>
      <w:r w:rsidRPr="00BA3778">
        <w:rPr>
          <w:rFonts w:ascii="Calibri Light" w:hAnsi="Calibri Light" w:cs="Calibri Light"/>
          <w:rtl/>
        </w:rPr>
        <w:t>ה</w:t>
      </w:r>
      <w:r w:rsidRPr="00BA3778">
        <w:rPr>
          <w:rFonts w:ascii="Calibri Light" w:hAnsi="Calibri Light" w:cs="Calibri Light"/>
        </w:rPr>
        <w:t>OECD</w:t>
      </w:r>
      <w:r w:rsidRPr="00BA3778">
        <w:rPr>
          <w:rFonts w:ascii="Calibri Light" w:hAnsi="Calibri Light" w:cs="Calibri Light"/>
          <w:rtl/>
        </w:rPr>
        <w:t xml:space="preserve"> </w:t>
      </w:r>
      <w:r w:rsidR="00053C1C" w:rsidRPr="00BA3778">
        <w:rPr>
          <w:rFonts w:ascii="Calibri Light" w:hAnsi="Calibri Light" w:cs="Calibri Light" w:hint="cs"/>
          <w:rtl/>
        </w:rPr>
        <w:t>פרסם</w:t>
      </w:r>
      <w:r w:rsidRPr="00BA3778">
        <w:rPr>
          <w:rFonts w:ascii="Calibri Light" w:hAnsi="Calibri Light" w:cs="Calibri Light"/>
          <w:rtl/>
        </w:rPr>
        <w:t xml:space="preserve"> היום (ראשון) דו"ח חדש העוסק בדרכים להפחית גודש תנועה בישראל. מומחים מהארגון </w:t>
      </w:r>
      <w:r w:rsidRPr="0090359D">
        <w:rPr>
          <w:rFonts w:ascii="Calibri Light" w:hAnsi="Calibri Light" w:cs="Calibri Light"/>
          <w:highlight w:val="yellow"/>
          <w:rtl/>
        </w:rPr>
        <w:t>יציגו</w:t>
      </w:r>
      <w:r w:rsidR="0090359D" w:rsidRPr="0090359D">
        <w:rPr>
          <w:rFonts w:ascii="Calibri Light" w:hAnsi="Calibri Light" w:cs="Calibri Light" w:hint="cs"/>
          <w:highlight w:val="yellow"/>
          <w:rtl/>
        </w:rPr>
        <w:t>/הציגו</w:t>
      </w:r>
      <w:r w:rsidRPr="00BA3778">
        <w:rPr>
          <w:rFonts w:ascii="Calibri Light" w:hAnsi="Calibri Light" w:cs="Calibri Light"/>
          <w:rtl/>
        </w:rPr>
        <w:t xml:space="preserve"> את הדו"ח בכנס ש</w:t>
      </w:r>
      <w:r w:rsidR="00053C1C">
        <w:rPr>
          <w:rFonts w:ascii="Calibri Light" w:hAnsi="Calibri Light" w:cs="Calibri Light" w:hint="cs"/>
          <w:rtl/>
        </w:rPr>
        <w:t xml:space="preserve">יזמו </w:t>
      </w:r>
      <w:r w:rsidRPr="00BA3778">
        <w:rPr>
          <w:rFonts w:ascii="Calibri Light" w:hAnsi="Calibri Light" w:cs="Calibri Light"/>
        </w:rPr>
        <w:t>Future Mobility IL</w:t>
      </w:r>
      <w:r w:rsidRPr="00BA3778">
        <w:rPr>
          <w:rFonts w:ascii="Calibri Light" w:hAnsi="Calibri Light" w:cs="Calibri Light"/>
          <w:rtl/>
        </w:rPr>
        <w:t>. מטרת הדו"ח היא לשתף עצות ודרכים יעילות לסיוע בפתרון בעיית הפקקים המחריפה בישראל</w:t>
      </w:r>
      <w:r w:rsidR="0090359D">
        <w:rPr>
          <w:rFonts w:ascii="Calibri Light" w:hAnsi="Calibri Light" w:cs="Calibri Light" w:hint="cs"/>
          <w:rtl/>
        </w:rPr>
        <w:t>.</w:t>
      </w:r>
    </w:p>
    <w:p w14:paraId="68AF0FC8" w14:textId="436BC3F0" w:rsidR="00543790" w:rsidRPr="00BA3778" w:rsidRDefault="00543790" w:rsidP="00543790">
      <w:pPr>
        <w:jc w:val="both"/>
        <w:rPr>
          <w:rFonts w:ascii="Calibri Light" w:hAnsi="Calibri Light" w:cs="Calibri Light"/>
          <w:rtl/>
        </w:rPr>
      </w:pPr>
      <w:r w:rsidRPr="00BA3778">
        <w:rPr>
          <w:rFonts w:ascii="Calibri Light" w:hAnsi="Calibri Light" w:cs="Calibri Light"/>
          <w:rtl/>
        </w:rPr>
        <w:t>דו"ח ה</w:t>
      </w:r>
      <w:r w:rsidRPr="00BA3778">
        <w:rPr>
          <w:rFonts w:ascii="Calibri Light" w:hAnsi="Calibri Light" w:cs="Calibri Light"/>
        </w:rPr>
        <w:t>OECD</w:t>
      </w:r>
      <w:r w:rsidRPr="00BA3778">
        <w:rPr>
          <w:rFonts w:ascii="Calibri Light" w:hAnsi="Calibri Light" w:cs="Calibri Light"/>
          <w:rtl/>
        </w:rPr>
        <w:t xml:space="preserve"> מספק תובנות ומסקנות בנוגע לאפקטיביות של מערכת אגרות גודש. בנוסף מציג את האופן בו יישמו מדינות וערים שונות את השימוש באגרות הגודש, </w:t>
      </w:r>
      <w:r w:rsidR="0090359D">
        <w:rPr>
          <w:rFonts w:ascii="Calibri Light" w:hAnsi="Calibri Light" w:cs="Calibri Light" w:hint="cs"/>
          <w:rtl/>
        </w:rPr>
        <w:t>אשר הוביל</w:t>
      </w:r>
      <w:r w:rsidRPr="00BA3778">
        <w:rPr>
          <w:rFonts w:ascii="Calibri Light" w:hAnsi="Calibri Light" w:cs="Calibri Light"/>
          <w:rtl/>
        </w:rPr>
        <w:t xml:space="preserve"> להצלח</w:t>
      </w:r>
      <w:r w:rsidR="0090359D">
        <w:rPr>
          <w:rFonts w:ascii="Calibri Light" w:hAnsi="Calibri Light" w:cs="Calibri Light" w:hint="cs"/>
          <w:rtl/>
        </w:rPr>
        <w:t>ות בהפחתת העומסים</w:t>
      </w:r>
      <w:r w:rsidRPr="00BA3778">
        <w:rPr>
          <w:rFonts w:ascii="Calibri Light" w:hAnsi="Calibri Light" w:cs="Calibri Light"/>
          <w:rtl/>
        </w:rPr>
        <w:t>. על בסיס אלה הדו"ח מציע אפשרויות לעיצוב ויישום מערכת אגרות גודש שיכולה להתאים לישראל ולהביא לצמצום הגודש באופן יעיל.</w:t>
      </w:r>
      <w:r w:rsidRPr="00BA3778">
        <w:rPr>
          <w:rFonts w:ascii="Calibri Light" w:hAnsi="Calibri Light" w:cs="Calibri Light"/>
        </w:rPr>
        <w:t xml:space="preserve"> </w:t>
      </w:r>
    </w:p>
    <w:p w14:paraId="1F865098" w14:textId="43F40F79" w:rsidR="003E4985" w:rsidRPr="00BA3778" w:rsidRDefault="003E4985" w:rsidP="00543790">
      <w:pPr>
        <w:jc w:val="both"/>
        <w:rPr>
          <w:rFonts w:ascii="Calibri Light" w:hAnsi="Calibri Light" w:cs="Calibri Light"/>
          <w:rtl/>
        </w:rPr>
      </w:pPr>
      <w:r w:rsidRPr="00BA3778">
        <w:rPr>
          <w:rFonts w:ascii="Calibri Light" w:hAnsi="Calibri Light" w:cs="Calibri Light"/>
          <w:rtl/>
        </w:rPr>
        <w:t>המסקנה המרכזית מהדו"ח היא שמערכת אגרות גודש שמתוכננת היטב יכולה להקל על עומס קיים. שיפור התחבורה הציבורית במקביל ליישומה יכול לסייע גם לצמצם את הגודש לטווח הארוך.</w:t>
      </w:r>
      <w:r w:rsidR="00862EE1" w:rsidRPr="00BA3778">
        <w:rPr>
          <w:rFonts w:ascii="Calibri Light" w:hAnsi="Calibri Light" w:cs="Calibri Light"/>
          <w:rtl/>
        </w:rPr>
        <w:t xml:space="preserve"> הרווחים מאגרות גודש יכולים לסייע בהשקעה נוספת בתחבורה ציבורית. התשלום על השימוש צריך להיות מותאם לאפשרויות תחבורה שונות</w:t>
      </w:r>
      <w:r w:rsidR="00FC6625" w:rsidRPr="00BA3778">
        <w:rPr>
          <w:rFonts w:ascii="Calibri Light" w:hAnsi="Calibri Light" w:cs="Calibri Light"/>
          <w:rtl/>
        </w:rPr>
        <w:t xml:space="preserve"> אותן רוצים לעודד</w:t>
      </w:r>
      <w:r w:rsidR="00862EE1" w:rsidRPr="00BA3778">
        <w:rPr>
          <w:rFonts w:ascii="Calibri Light" w:hAnsi="Calibri Light" w:cs="Calibri Light"/>
          <w:rtl/>
        </w:rPr>
        <w:t xml:space="preserve"> כמו קארפולינג </w:t>
      </w:r>
      <w:r w:rsidR="00FC6625" w:rsidRPr="00BA3778">
        <w:rPr>
          <w:rFonts w:ascii="Calibri Light" w:hAnsi="Calibri Light" w:cs="Calibri Light"/>
          <w:rtl/>
        </w:rPr>
        <w:t>ואלטרנטיבות</w:t>
      </w:r>
      <w:r w:rsidR="00862EE1" w:rsidRPr="00BA3778">
        <w:rPr>
          <w:rFonts w:ascii="Calibri Light" w:hAnsi="Calibri Light" w:cs="Calibri Light"/>
          <w:rtl/>
        </w:rPr>
        <w:t xml:space="preserve"> אחרות לרכב כמו אופניים. </w:t>
      </w:r>
    </w:p>
    <w:p w14:paraId="47EFD01A" w14:textId="622868F0" w:rsidR="00BA3778" w:rsidRPr="00BA3778" w:rsidRDefault="00BA3778" w:rsidP="00543790">
      <w:pPr>
        <w:jc w:val="both"/>
        <w:rPr>
          <w:rFonts w:ascii="Calibri Light" w:hAnsi="Calibri Light" w:cs="Calibri Light"/>
          <w:rtl/>
        </w:rPr>
      </w:pPr>
      <w:r w:rsidRPr="00BA3778">
        <w:rPr>
          <w:rFonts w:ascii="Calibri Light" w:hAnsi="Calibri Light" w:cs="Calibri Light"/>
          <w:rtl/>
        </w:rPr>
        <w:t>עיקרי מסקנות הדו"ח:</w:t>
      </w:r>
    </w:p>
    <w:p w14:paraId="434EB892" w14:textId="479EE607" w:rsidR="00BA3778" w:rsidRPr="00BA3778" w:rsidRDefault="00BA3778" w:rsidP="00BA3778">
      <w:pPr>
        <w:pStyle w:val="a5"/>
        <w:numPr>
          <w:ilvl w:val="0"/>
          <w:numId w:val="2"/>
        </w:numPr>
        <w:bidi/>
        <w:rPr>
          <w:rFonts w:ascii="Calibri Light" w:hAnsi="Calibri Light" w:cs="Calibri Light"/>
        </w:rPr>
      </w:pPr>
      <w:r w:rsidRPr="00BA3778">
        <w:rPr>
          <w:rFonts w:ascii="Calibri Light" w:hAnsi="Calibri Light" w:cs="Calibri Light"/>
          <w:rtl/>
          <w:lang w:bidi="he-IL"/>
        </w:rPr>
        <w:t>הגודש צפוי להחריף בשל הגידול באוכלוסייה ובהכנסה. הכלי היעיל ביותר הקיים לניהול הגודש הרב הוא אגרות הגודש.</w:t>
      </w:r>
    </w:p>
    <w:p w14:paraId="3990AAF8" w14:textId="0FD1E4B1" w:rsidR="00BA3778" w:rsidRPr="00BA3778" w:rsidRDefault="00BA3778" w:rsidP="00BA3778">
      <w:pPr>
        <w:pStyle w:val="a5"/>
        <w:numPr>
          <w:ilvl w:val="0"/>
          <w:numId w:val="2"/>
        </w:numPr>
        <w:bidi/>
        <w:rPr>
          <w:rFonts w:ascii="Calibri Light" w:hAnsi="Calibri Light" w:cs="Calibri Light"/>
        </w:rPr>
      </w:pPr>
      <w:r w:rsidRPr="00BA3778">
        <w:rPr>
          <w:rFonts w:ascii="Calibri Light" w:hAnsi="Calibri Light" w:cs="Calibri Light"/>
          <w:rtl/>
          <w:lang w:bidi="he-IL"/>
        </w:rPr>
        <w:t xml:space="preserve">מערכת גבייה מתוכננת היטב תשפר את מצב הפקקים באופן מידי, בשילוב השקעה ופיתוח התחבורה הציבורית המצב </w:t>
      </w:r>
      <w:r w:rsidR="00755CD0" w:rsidRPr="00BA3778">
        <w:rPr>
          <w:rFonts w:ascii="Calibri Light" w:hAnsi="Calibri Light" w:cs="Calibri Light" w:hint="cs"/>
          <w:rtl/>
          <w:lang w:bidi="he-IL"/>
        </w:rPr>
        <w:t>ישתפר</w:t>
      </w:r>
      <w:r w:rsidRPr="00BA3778">
        <w:rPr>
          <w:rFonts w:ascii="Calibri Light" w:hAnsi="Calibri Light" w:cs="Calibri Light"/>
          <w:rtl/>
          <w:lang w:bidi="he-IL"/>
        </w:rPr>
        <w:t xml:space="preserve"> גם בטווח הארוך.</w:t>
      </w:r>
    </w:p>
    <w:p w14:paraId="2D8DBA35" w14:textId="7F204BD5" w:rsidR="00BA3778" w:rsidRPr="00BA3778" w:rsidRDefault="00BA3778" w:rsidP="00BA3778">
      <w:pPr>
        <w:pStyle w:val="a5"/>
        <w:numPr>
          <w:ilvl w:val="0"/>
          <w:numId w:val="2"/>
        </w:numPr>
        <w:bidi/>
        <w:rPr>
          <w:rFonts w:ascii="Calibri Light" w:hAnsi="Calibri Light" w:cs="Calibri Light"/>
        </w:rPr>
      </w:pPr>
      <w:r w:rsidRPr="00BA3778">
        <w:rPr>
          <w:rFonts w:ascii="Calibri Light" w:hAnsi="Calibri Light" w:cs="Calibri Light"/>
          <w:rtl/>
          <w:lang w:bidi="he-IL"/>
        </w:rPr>
        <w:t xml:space="preserve">ישנן שתי מערכות שיש לשקול כעת בישראל - חיוב בשלושה מעגלים סובבי תל אביב או חיוב בק"מ אחד מסביב לעיר שמחירו </w:t>
      </w:r>
      <w:r w:rsidR="00755CD0" w:rsidRPr="00BA3778">
        <w:rPr>
          <w:rFonts w:ascii="Calibri Light" w:hAnsi="Calibri Light" w:cs="Calibri Light" w:hint="cs"/>
          <w:rtl/>
          <w:lang w:bidi="he-IL"/>
        </w:rPr>
        <w:t>ישתנה</w:t>
      </w:r>
      <w:r w:rsidRPr="00BA3778">
        <w:rPr>
          <w:rFonts w:ascii="Calibri Light" w:hAnsi="Calibri Light" w:cs="Calibri Light"/>
          <w:rtl/>
          <w:lang w:bidi="he-IL"/>
        </w:rPr>
        <w:t xml:space="preserve"> בהתאם </w:t>
      </w:r>
      <w:r w:rsidR="00755CD0">
        <w:rPr>
          <w:rFonts w:ascii="Calibri Light" w:hAnsi="Calibri Light" w:cs="Calibri Light" w:hint="cs"/>
          <w:rtl/>
          <w:lang w:bidi="he-IL"/>
        </w:rPr>
        <w:t>ל</w:t>
      </w:r>
      <w:r w:rsidRPr="00BA3778">
        <w:rPr>
          <w:rFonts w:ascii="Calibri Light" w:hAnsi="Calibri Light" w:cs="Calibri Light"/>
          <w:rtl/>
          <w:lang w:bidi="he-IL"/>
        </w:rPr>
        <w:t xml:space="preserve">עומס. אלה יכולים להוביל להפחתה ניכרת בגודש ובחסכון בזמן. </w:t>
      </w:r>
    </w:p>
    <w:p w14:paraId="629E1F7C" w14:textId="70497823" w:rsidR="00BA3778" w:rsidRPr="00BA3778" w:rsidRDefault="00BA3778" w:rsidP="00BA3778">
      <w:pPr>
        <w:pStyle w:val="a5"/>
        <w:numPr>
          <w:ilvl w:val="0"/>
          <w:numId w:val="2"/>
        </w:numPr>
        <w:bidi/>
        <w:rPr>
          <w:rFonts w:ascii="Calibri Light" w:hAnsi="Calibri Light" w:cs="Calibri Light"/>
        </w:rPr>
      </w:pPr>
      <w:r w:rsidRPr="00BA3778">
        <w:rPr>
          <w:rFonts w:ascii="Calibri Light" w:hAnsi="Calibri Light" w:cs="Calibri Light"/>
          <w:rtl/>
          <w:lang w:bidi="he-IL"/>
        </w:rPr>
        <w:t xml:space="preserve">יש לבחון טכנולוגיה מבוססת </w:t>
      </w:r>
      <w:r w:rsidRPr="00BA3778">
        <w:rPr>
          <w:rFonts w:ascii="Calibri Light" w:hAnsi="Calibri Light" w:cs="Calibri Light"/>
          <w:lang w:val="en-US" w:bidi="he-IL"/>
        </w:rPr>
        <w:t>GPS</w:t>
      </w:r>
      <w:r w:rsidRPr="00BA3778">
        <w:rPr>
          <w:rFonts w:ascii="Calibri Light" w:hAnsi="Calibri Light" w:cs="Calibri Light"/>
          <w:rtl/>
          <w:lang w:val="en-US" w:bidi="he-IL"/>
        </w:rPr>
        <w:t xml:space="preserve"> כדי להגביר את היעילות וכדי לאפשר גמישות בעיצוב והטמעת אגרות הגודש.</w:t>
      </w:r>
    </w:p>
    <w:p w14:paraId="4D92DC3D" w14:textId="150A3260" w:rsidR="00BA3778" w:rsidRPr="00BA3778" w:rsidRDefault="00BA3778" w:rsidP="00BA3778">
      <w:pPr>
        <w:pStyle w:val="a5"/>
        <w:numPr>
          <w:ilvl w:val="0"/>
          <w:numId w:val="2"/>
        </w:numPr>
        <w:bidi/>
        <w:rPr>
          <w:rFonts w:ascii="Calibri Light" w:hAnsi="Calibri Light" w:cs="Calibri Light"/>
        </w:rPr>
      </w:pPr>
      <w:r w:rsidRPr="00BA3778">
        <w:rPr>
          <w:rFonts w:ascii="Calibri Light" w:hAnsi="Calibri Light" w:cs="Calibri Light"/>
          <w:rtl/>
          <w:lang w:bidi="he-IL"/>
        </w:rPr>
        <w:t>ההכנסות מאגרות הגודש יכולות להיות משמעו</w:t>
      </w:r>
      <w:r w:rsidR="0090359D">
        <w:rPr>
          <w:rFonts w:ascii="Calibri Light" w:hAnsi="Calibri Light" w:cs="Calibri Light" w:hint="cs"/>
          <w:rtl/>
          <w:lang w:bidi="he-IL"/>
        </w:rPr>
        <w:t>ת</w:t>
      </w:r>
      <w:r w:rsidRPr="00BA3778">
        <w:rPr>
          <w:rFonts w:ascii="Calibri Light" w:hAnsi="Calibri Light" w:cs="Calibri Light"/>
          <w:rtl/>
          <w:lang w:bidi="he-IL"/>
        </w:rPr>
        <w:t xml:space="preserve">יות. הן יכולות לאפשר השקעה נוספת בתחבורה ציבורית. ההשקעה הכלכלית משמעותית </w:t>
      </w:r>
      <w:r w:rsidR="00755CD0" w:rsidRPr="00BA3778">
        <w:rPr>
          <w:rFonts w:ascii="Calibri Light" w:hAnsi="Calibri Light" w:cs="Calibri Light" w:hint="cs"/>
          <w:rtl/>
          <w:lang w:bidi="he-IL"/>
        </w:rPr>
        <w:t>בתחבורה</w:t>
      </w:r>
      <w:r w:rsidRPr="00BA3778">
        <w:rPr>
          <w:rFonts w:ascii="Calibri Light" w:hAnsi="Calibri Light" w:cs="Calibri Light"/>
          <w:rtl/>
          <w:lang w:bidi="he-IL"/>
        </w:rPr>
        <w:t xml:space="preserve"> ציבורית בישראל, וקישור בין הגבייה מהאגרות והתחבורה הציבורית יכול לסייע מאוד בשיפורה.</w:t>
      </w:r>
    </w:p>
    <w:p w14:paraId="762E1E3B" w14:textId="0B299120" w:rsidR="00BA3778" w:rsidRPr="00BA3778" w:rsidRDefault="00BA3778" w:rsidP="00BA3778">
      <w:pPr>
        <w:pStyle w:val="a5"/>
        <w:numPr>
          <w:ilvl w:val="0"/>
          <w:numId w:val="2"/>
        </w:numPr>
        <w:bidi/>
        <w:rPr>
          <w:rFonts w:ascii="Calibri Light" w:hAnsi="Calibri Light" w:cs="Calibri Light"/>
        </w:rPr>
      </w:pPr>
      <w:r w:rsidRPr="00BA3778">
        <w:rPr>
          <w:rFonts w:ascii="Calibri Light" w:hAnsi="Calibri Light" w:cs="Calibri Light"/>
          <w:rtl/>
          <w:lang w:bidi="he-IL"/>
        </w:rPr>
        <w:t>שימוש ב</w:t>
      </w:r>
      <w:r w:rsidR="00755CD0">
        <w:rPr>
          <w:rFonts w:ascii="Calibri Light" w:hAnsi="Calibri Light" w:cs="Calibri Light" w:hint="cs"/>
          <w:rtl/>
          <w:lang w:bidi="he-IL"/>
        </w:rPr>
        <w:t>הכנסות מהאגרות</w:t>
      </w:r>
      <w:r w:rsidRPr="00BA3778">
        <w:rPr>
          <w:rFonts w:ascii="Calibri Light" w:hAnsi="Calibri Light" w:cs="Calibri Light"/>
          <w:rtl/>
          <w:lang w:bidi="he-IL"/>
        </w:rPr>
        <w:t xml:space="preserve"> כדי לצמצם את </w:t>
      </w:r>
      <w:r w:rsidR="00755CD0">
        <w:rPr>
          <w:rFonts w:ascii="Calibri Light" w:hAnsi="Calibri Light" w:cs="Calibri Light" w:hint="cs"/>
          <w:rtl/>
          <w:lang w:bidi="he-IL"/>
        </w:rPr>
        <w:t>ה</w:t>
      </w:r>
      <w:r w:rsidRPr="00BA3778">
        <w:rPr>
          <w:rFonts w:ascii="Calibri Light" w:hAnsi="Calibri Light" w:cs="Calibri Light"/>
          <w:rtl/>
          <w:lang w:bidi="he-IL"/>
        </w:rPr>
        <w:t>מס</w:t>
      </w:r>
      <w:r w:rsidR="00755CD0">
        <w:rPr>
          <w:rFonts w:ascii="Calibri Light" w:hAnsi="Calibri Light" w:cs="Calibri Light" w:hint="cs"/>
          <w:rtl/>
          <w:lang w:bidi="he-IL"/>
        </w:rPr>
        <w:t xml:space="preserve"> על</w:t>
      </w:r>
      <w:r w:rsidRPr="00BA3778">
        <w:rPr>
          <w:rFonts w:ascii="Calibri Light" w:hAnsi="Calibri Light" w:cs="Calibri Light"/>
          <w:rtl/>
          <w:lang w:bidi="he-IL"/>
        </w:rPr>
        <w:t xml:space="preserve"> הרכבים הפרטיים עשוי לסייע בשיפור דעת הקהל הציבורית ובקבלת הציבור את המהלך</w:t>
      </w:r>
      <w:r w:rsidR="00755CD0">
        <w:rPr>
          <w:rFonts w:ascii="Calibri Light" w:hAnsi="Calibri Light" w:cs="Calibri Light" w:hint="cs"/>
          <w:rtl/>
          <w:lang w:bidi="he-IL"/>
        </w:rPr>
        <w:t>,</w:t>
      </w:r>
      <w:r w:rsidRPr="00BA3778">
        <w:rPr>
          <w:rFonts w:ascii="Calibri Light" w:hAnsi="Calibri Light" w:cs="Calibri Light"/>
          <w:rtl/>
          <w:lang w:bidi="he-IL"/>
        </w:rPr>
        <w:t xml:space="preserve"> אולם עלול לצמצם את </w:t>
      </w:r>
      <w:r w:rsidR="00755CD0">
        <w:rPr>
          <w:rFonts w:ascii="Calibri Light" w:hAnsi="Calibri Light" w:cs="Calibri Light" w:hint="cs"/>
          <w:rtl/>
          <w:lang w:bidi="he-IL"/>
        </w:rPr>
        <w:t>תרומת</w:t>
      </w:r>
      <w:r w:rsidRPr="00BA3778">
        <w:rPr>
          <w:rFonts w:ascii="Calibri Light" w:hAnsi="Calibri Light" w:cs="Calibri Light"/>
          <w:rtl/>
          <w:lang w:bidi="he-IL"/>
        </w:rPr>
        <w:t xml:space="preserve"> אגרות הגודש לסביבה ולמרכיבים</w:t>
      </w:r>
      <w:r w:rsidR="00755CD0">
        <w:rPr>
          <w:rFonts w:ascii="Calibri Light" w:hAnsi="Calibri Light" w:cs="Calibri Light" w:hint="cs"/>
          <w:rtl/>
          <w:lang w:bidi="he-IL"/>
        </w:rPr>
        <w:t xml:space="preserve"> נוספים</w:t>
      </w:r>
      <w:r w:rsidRPr="00BA3778">
        <w:rPr>
          <w:rFonts w:ascii="Calibri Light" w:hAnsi="Calibri Light" w:cs="Calibri Light"/>
          <w:rtl/>
          <w:lang w:bidi="he-IL"/>
        </w:rPr>
        <w:t xml:space="preserve"> במדיניות ניידות. תוצאת מהלך זה תהיה הפחתת מס נטו עבור הנוסעים מחוץ לאזורים ובשעות בהן קיים תשלום עבור נסיעה באזורים עמוסים, אך </w:t>
      </w:r>
      <w:r w:rsidR="00755CD0">
        <w:rPr>
          <w:rFonts w:ascii="Calibri Light" w:hAnsi="Calibri Light" w:cs="Calibri Light" w:hint="cs"/>
          <w:rtl/>
          <w:lang w:bidi="he-IL"/>
        </w:rPr>
        <w:t>לא עבור אלה שמשלמים את האגרה עבור הנסיעה</w:t>
      </w:r>
      <w:r w:rsidRPr="00BA3778">
        <w:rPr>
          <w:rFonts w:ascii="Calibri Light" w:hAnsi="Calibri Light" w:cs="Calibri Light"/>
          <w:rtl/>
          <w:lang w:bidi="he-IL"/>
        </w:rPr>
        <w:t>.</w:t>
      </w:r>
    </w:p>
    <w:p w14:paraId="230F79F3" w14:textId="4091B8C5" w:rsidR="00BA3778" w:rsidRPr="00BA3778" w:rsidRDefault="00BA3778" w:rsidP="00BA3778">
      <w:pPr>
        <w:pStyle w:val="a5"/>
        <w:numPr>
          <w:ilvl w:val="0"/>
          <w:numId w:val="2"/>
        </w:numPr>
        <w:bidi/>
        <w:rPr>
          <w:rFonts w:ascii="Calibri Light" w:hAnsi="Calibri Light" w:cs="Calibri Light"/>
        </w:rPr>
      </w:pPr>
      <w:r w:rsidRPr="00BA3778">
        <w:rPr>
          <w:rFonts w:ascii="Calibri Light" w:hAnsi="Calibri Light" w:cs="Calibri Light"/>
          <w:rtl/>
          <w:lang w:bidi="he-IL"/>
        </w:rPr>
        <w:t>יש לשקול הטמעת אמצעים נלווים לאגרות הגודש</w:t>
      </w:r>
      <w:r w:rsidR="00755CD0">
        <w:rPr>
          <w:rFonts w:ascii="Calibri Light" w:hAnsi="Calibri Light" w:cs="Calibri Light" w:hint="cs"/>
          <w:rtl/>
          <w:lang w:bidi="he-IL"/>
        </w:rPr>
        <w:t>.</w:t>
      </w:r>
      <w:r w:rsidRPr="00BA3778">
        <w:rPr>
          <w:rFonts w:ascii="Calibri Light" w:hAnsi="Calibri Light" w:cs="Calibri Light"/>
          <w:rtl/>
          <w:lang w:bidi="he-IL"/>
        </w:rPr>
        <w:t xml:space="preserve"> אלה יכולים לכלול שיפורים בטווח הזמן הק</w:t>
      </w:r>
      <w:r w:rsidR="0090359D">
        <w:rPr>
          <w:rFonts w:ascii="Calibri Light" w:hAnsi="Calibri Light" w:cs="Calibri Light" w:hint="cs"/>
          <w:rtl/>
          <w:lang w:bidi="he-IL"/>
        </w:rPr>
        <w:t>צר</w:t>
      </w:r>
      <w:r w:rsidRPr="00BA3778">
        <w:rPr>
          <w:rFonts w:ascii="Calibri Light" w:hAnsi="Calibri Light" w:cs="Calibri Light"/>
          <w:rtl/>
          <w:lang w:bidi="he-IL"/>
        </w:rPr>
        <w:t xml:space="preserve"> באיכות שירותי האוטובוס, אמצעים להקל על נסיעות שיתופיות (שמוגבלות היום בשל רגולציה על הרווחים של אפליקציות לנסיעות שיתופיות) וכן שיפורים בתשתיות לאופניים. אמצעים נוספים כוללים מתן אישור לרשויות מקומיות  לגבות מחיר גבוה יותר עבור חנייה והסרת פטורים והטבות שונות במס המעודד</w:t>
      </w:r>
      <w:r w:rsidR="0090359D">
        <w:rPr>
          <w:rFonts w:ascii="Calibri Light" w:hAnsi="Calibri Light" w:cs="Calibri Light" w:hint="cs"/>
          <w:rtl/>
          <w:lang w:bidi="he-IL"/>
        </w:rPr>
        <w:t>ים כיום</w:t>
      </w:r>
      <w:r w:rsidRPr="00BA3778">
        <w:rPr>
          <w:rFonts w:ascii="Calibri Light" w:hAnsi="Calibri Light" w:cs="Calibri Light"/>
          <w:rtl/>
          <w:lang w:bidi="he-IL"/>
        </w:rPr>
        <w:t xml:space="preserve"> שימוש ברכב פרטי.</w:t>
      </w:r>
    </w:p>
    <w:p w14:paraId="5D7527F1" w14:textId="299ED869" w:rsidR="00BA3778" w:rsidRDefault="00BA3778" w:rsidP="00BA3778">
      <w:pPr>
        <w:pStyle w:val="a5"/>
        <w:numPr>
          <w:ilvl w:val="0"/>
          <w:numId w:val="2"/>
        </w:numPr>
        <w:bidi/>
        <w:rPr>
          <w:rFonts w:ascii="Calibri Light" w:hAnsi="Calibri Light" w:cs="Calibri Light"/>
        </w:rPr>
      </w:pPr>
      <w:r w:rsidRPr="00BA3778">
        <w:rPr>
          <w:rFonts w:ascii="Calibri Light" w:hAnsi="Calibri Light" w:cs="Calibri Light"/>
          <w:rtl/>
          <w:lang w:bidi="he-IL"/>
        </w:rPr>
        <w:t>ניתן להקל על קבלת המהלך בקרב הציבור</w:t>
      </w:r>
      <w:r w:rsidR="00755CD0">
        <w:rPr>
          <w:rFonts w:ascii="Calibri Light" w:hAnsi="Calibri Light" w:cs="Calibri Light" w:hint="cs"/>
          <w:rtl/>
          <w:lang w:bidi="he-IL"/>
        </w:rPr>
        <w:t xml:space="preserve"> </w:t>
      </w:r>
      <w:r w:rsidR="00755CD0" w:rsidRPr="00BA3778">
        <w:rPr>
          <w:rFonts w:ascii="Calibri Light" w:hAnsi="Calibri Light" w:cs="Calibri Light"/>
          <w:rtl/>
          <w:lang w:bidi="he-IL"/>
        </w:rPr>
        <w:t>ועל דעת הקהל הציבורית</w:t>
      </w:r>
      <w:r w:rsidR="00755CD0">
        <w:rPr>
          <w:rFonts w:ascii="Calibri Light" w:hAnsi="Calibri Light" w:cs="Calibri Light" w:hint="cs"/>
          <w:rtl/>
          <w:lang w:bidi="he-IL"/>
        </w:rPr>
        <w:t xml:space="preserve"> בנוגע אליו</w:t>
      </w:r>
      <w:r w:rsidRPr="00BA3778">
        <w:rPr>
          <w:rFonts w:ascii="Calibri Light" w:hAnsi="Calibri Light" w:cs="Calibri Light"/>
          <w:rtl/>
          <w:lang w:bidi="he-IL"/>
        </w:rPr>
        <w:t xml:space="preserve"> </w:t>
      </w:r>
      <w:r w:rsidR="00755CD0">
        <w:rPr>
          <w:rFonts w:ascii="Calibri Light" w:hAnsi="Calibri Light" w:cs="Calibri Light" w:hint="cs"/>
          <w:rtl/>
          <w:lang w:bidi="he-IL"/>
        </w:rPr>
        <w:t xml:space="preserve">על ידי </w:t>
      </w:r>
      <w:r w:rsidR="00755CD0" w:rsidRPr="00BA3778">
        <w:rPr>
          <w:rFonts w:ascii="Calibri Light" w:hAnsi="Calibri Light" w:cs="Calibri Light"/>
          <w:rtl/>
          <w:lang w:bidi="he-IL"/>
        </w:rPr>
        <w:t xml:space="preserve">שמירה על תקשורת פתוחה בין הציבור והקהילה העסקית </w:t>
      </w:r>
      <w:r w:rsidR="00755CD0">
        <w:rPr>
          <w:rFonts w:ascii="Calibri Light" w:hAnsi="Calibri Light" w:cs="Calibri Light" w:hint="cs"/>
          <w:rtl/>
          <w:lang w:bidi="he-IL"/>
        </w:rPr>
        <w:t xml:space="preserve">וכן </w:t>
      </w:r>
      <w:r w:rsidRPr="00BA3778">
        <w:rPr>
          <w:rFonts w:ascii="Calibri Light" w:hAnsi="Calibri Light" w:cs="Calibri Light"/>
          <w:rtl/>
          <w:lang w:bidi="he-IL"/>
        </w:rPr>
        <w:t>על ידי</w:t>
      </w:r>
      <w:r w:rsidR="00755CD0">
        <w:rPr>
          <w:rFonts w:ascii="Calibri Light" w:hAnsi="Calibri Light" w:cs="Calibri Light" w:hint="cs"/>
          <w:rtl/>
          <w:lang w:bidi="he-IL"/>
        </w:rPr>
        <w:t xml:space="preserve"> שקיפות ו</w:t>
      </w:r>
      <w:r w:rsidRPr="00BA3778">
        <w:rPr>
          <w:rFonts w:ascii="Calibri Light" w:hAnsi="Calibri Light" w:cs="Calibri Light"/>
          <w:rtl/>
          <w:lang w:bidi="he-IL"/>
        </w:rPr>
        <w:t xml:space="preserve">הסבר על מערכת הגבייה ועל </w:t>
      </w:r>
      <w:r w:rsidR="00755CD0">
        <w:rPr>
          <w:rFonts w:ascii="Calibri Light" w:hAnsi="Calibri Light" w:cs="Calibri Light" w:hint="cs"/>
          <w:rtl/>
          <w:lang w:bidi="he-IL"/>
        </w:rPr>
        <w:t xml:space="preserve">הסיבות ליישומה. </w:t>
      </w:r>
    </w:p>
    <w:p w14:paraId="4E68881D" w14:textId="38628231" w:rsidR="00A762A1" w:rsidRDefault="00A762A1" w:rsidP="00A762A1">
      <w:pPr>
        <w:rPr>
          <w:rFonts w:ascii="Calibri Light" w:hAnsi="Calibri Light" w:cs="Calibri Light"/>
          <w:rtl/>
        </w:rPr>
      </w:pPr>
    </w:p>
    <w:p w14:paraId="36296A11" w14:textId="4433C7F8" w:rsidR="00A762A1" w:rsidRDefault="00A762A1" w:rsidP="00A762A1">
      <w:pPr>
        <w:rPr>
          <w:rFonts w:ascii="Calibri Light" w:hAnsi="Calibri Light" w:cs="Calibri Light" w:hint="cs"/>
          <w:rtl/>
        </w:rPr>
      </w:pPr>
      <w:r w:rsidRPr="00A762A1">
        <w:rPr>
          <w:rFonts w:ascii="Calibri Light" w:hAnsi="Calibri Light" w:cs="Calibri Light" w:hint="cs"/>
          <w:b/>
          <w:bCs/>
          <w:rtl/>
        </w:rPr>
        <w:lastRenderedPageBreak/>
        <w:t xml:space="preserve">מר </w:t>
      </w:r>
      <w:proofErr w:type="spellStart"/>
      <w:r w:rsidRPr="00A762A1">
        <w:rPr>
          <w:rFonts w:ascii="Calibri Light" w:hAnsi="Calibri Light" w:cs="Calibri Light" w:hint="cs"/>
          <w:b/>
          <w:bCs/>
          <w:rtl/>
        </w:rPr>
        <w:t>אלברו</w:t>
      </w:r>
      <w:proofErr w:type="spellEnd"/>
      <w:r w:rsidRPr="00A762A1">
        <w:rPr>
          <w:rFonts w:ascii="Calibri Light" w:hAnsi="Calibri Light" w:cs="Calibri Light" w:hint="cs"/>
          <w:b/>
          <w:bCs/>
          <w:rtl/>
        </w:rPr>
        <w:t xml:space="preserve"> </w:t>
      </w:r>
      <w:proofErr w:type="spellStart"/>
      <w:r w:rsidRPr="00A762A1">
        <w:rPr>
          <w:rFonts w:ascii="Calibri Light" w:hAnsi="Calibri Light" w:cs="Calibri Light" w:hint="cs"/>
          <w:b/>
          <w:bCs/>
          <w:rtl/>
        </w:rPr>
        <w:t>פריירה</w:t>
      </w:r>
      <w:proofErr w:type="spellEnd"/>
      <w:r w:rsidRPr="00A762A1">
        <w:rPr>
          <w:rFonts w:ascii="Calibri Light" w:hAnsi="Calibri Light" w:cs="Calibri Light" w:hint="cs"/>
          <w:b/>
          <w:bCs/>
          <w:rtl/>
        </w:rPr>
        <w:t xml:space="preserve">, </w:t>
      </w:r>
      <w:r w:rsidR="00053C1C">
        <w:rPr>
          <w:rFonts w:ascii="Calibri Light" w:hAnsi="Calibri Light" w:cs="Calibri Light" w:hint="cs"/>
          <w:b/>
          <w:bCs/>
          <w:rtl/>
        </w:rPr>
        <w:t>מנהל</w:t>
      </w:r>
      <w:r w:rsidR="0090359D">
        <w:rPr>
          <w:rFonts w:ascii="Calibri Light" w:hAnsi="Calibri Light" w:cs="Calibri Light" w:hint="cs"/>
          <w:b/>
          <w:bCs/>
          <w:rtl/>
        </w:rPr>
        <w:t xml:space="preserve"> בכיר</w:t>
      </w:r>
      <w:r w:rsidRPr="00A762A1">
        <w:rPr>
          <w:rFonts w:ascii="Calibri Light" w:hAnsi="Calibri Light" w:cs="Calibri Light" w:hint="cs"/>
          <w:b/>
          <w:bCs/>
          <w:rtl/>
        </w:rPr>
        <w:t>, לימודי מדינות, המחלקה הכלכלית (</w:t>
      </w:r>
      <w:r w:rsidRPr="00A762A1">
        <w:rPr>
          <w:rFonts w:ascii="Calibri Light" w:hAnsi="Calibri Light" w:cs="Calibri Light"/>
          <w:b/>
          <w:bCs/>
        </w:rPr>
        <w:t>OECD</w:t>
      </w:r>
      <w:r w:rsidRPr="00A762A1">
        <w:rPr>
          <w:rFonts w:ascii="Calibri Light" w:hAnsi="Calibri Light" w:cs="Calibri Light" w:hint="cs"/>
          <w:b/>
          <w:bCs/>
          <w:rtl/>
        </w:rPr>
        <w:t>):</w:t>
      </w:r>
      <w:r>
        <w:rPr>
          <w:rFonts w:ascii="Calibri Light" w:hAnsi="Calibri Light" w:cs="Calibri Light" w:hint="cs"/>
          <w:rtl/>
        </w:rPr>
        <w:t xml:space="preserve"> </w:t>
      </w:r>
      <w:r w:rsidR="00053C1C">
        <w:rPr>
          <w:rFonts w:ascii="Calibri Light" w:hAnsi="Calibri Light" w:cs="Calibri Light" w:hint="cs"/>
          <w:rtl/>
        </w:rPr>
        <w:t>"</w:t>
      </w:r>
      <w:r>
        <w:rPr>
          <w:rFonts w:ascii="Calibri Light" w:hAnsi="Calibri Light" w:cs="Calibri Light" w:hint="cs"/>
          <w:rtl/>
        </w:rPr>
        <w:t xml:space="preserve">אגרות גודש עובדות אם הן מעוצבות ומתוכננות היטב ומלוות </w:t>
      </w:r>
      <w:r w:rsidR="00053C1C">
        <w:rPr>
          <w:rFonts w:ascii="Calibri Light" w:hAnsi="Calibri Light" w:cs="Calibri Light" w:hint="cs"/>
          <w:rtl/>
        </w:rPr>
        <w:t>באלטרנ</w:t>
      </w:r>
      <w:bookmarkStart w:id="0" w:name="_GoBack"/>
      <w:bookmarkEnd w:id="0"/>
      <w:r w:rsidR="00053C1C">
        <w:rPr>
          <w:rFonts w:ascii="Calibri Light" w:hAnsi="Calibri Light" w:cs="Calibri Light" w:hint="cs"/>
          <w:rtl/>
        </w:rPr>
        <w:t>טיבות</w:t>
      </w:r>
      <w:r>
        <w:rPr>
          <w:rFonts w:ascii="Calibri Light" w:hAnsi="Calibri Light" w:cs="Calibri Light" w:hint="cs"/>
          <w:rtl/>
        </w:rPr>
        <w:t xml:space="preserve"> שונות לרכב הפרטי וכן ההכנסות מהן מושקעות בשיפור התחבורה. בלונדון, במילאנו בסינגפור </w:t>
      </w:r>
      <w:r w:rsidR="00053C1C">
        <w:rPr>
          <w:rFonts w:ascii="Calibri Light" w:hAnsi="Calibri Light" w:cs="Calibri Light" w:hint="cs"/>
          <w:rtl/>
        </w:rPr>
        <w:t>ובשטוקהולם</w:t>
      </w:r>
      <w:r>
        <w:rPr>
          <w:rFonts w:ascii="Calibri Light" w:hAnsi="Calibri Light" w:cs="Calibri Light" w:hint="cs"/>
          <w:rtl/>
        </w:rPr>
        <w:t xml:space="preserve"> אגרות הגודש הפחיתו באופן משמעותי את העומס. ניו יורק כרגע מתכננת </w:t>
      </w:r>
      <w:r w:rsidR="00053C1C">
        <w:rPr>
          <w:rFonts w:ascii="Calibri Light" w:hAnsi="Calibri Light" w:cs="Calibri Light" w:hint="cs"/>
          <w:rtl/>
        </w:rPr>
        <w:t>תוכנית דומה גם כן</w:t>
      </w:r>
      <w:r>
        <w:rPr>
          <w:rFonts w:ascii="Calibri Light" w:hAnsi="Calibri Light" w:cs="Calibri Light" w:hint="cs"/>
          <w:rtl/>
        </w:rPr>
        <w:t xml:space="preserve">. הדו"ח שאנחנו מציגים היום בוצע על ידי מיטב </w:t>
      </w:r>
      <w:r w:rsidR="00053C1C">
        <w:rPr>
          <w:rFonts w:ascii="Calibri Light" w:hAnsi="Calibri Light" w:cs="Calibri Light" w:hint="cs"/>
          <w:rtl/>
        </w:rPr>
        <w:t>מומחי</w:t>
      </w:r>
      <w:r>
        <w:rPr>
          <w:rFonts w:ascii="Calibri Light" w:hAnsi="Calibri Light" w:cs="Calibri Light" w:hint="cs"/>
          <w:rtl/>
        </w:rPr>
        <w:t xml:space="preserve"> ה</w:t>
      </w:r>
      <w:r>
        <w:rPr>
          <w:rFonts w:ascii="Calibri Light" w:hAnsi="Calibri Light" w:cs="Calibri Light"/>
        </w:rPr>
        <w:t>OECD</w:t>
      </w:r>
      <w:r>
        <w:rPr>
          <w:rFonts w:ascii="Calibri Light" w:hAnsi="Calibri Light" w:cs="Calibri Light" w:hint="cs"/>
          <w:rtl/>
        </w:rPr>
        <w:t xml:space="preserve"> בתחו</w:t>
      </w:r>
      <w:r w:rsidR="00053C1C">
        <w:rPr>
          <w:rFonts w:ascii="Calibri Light" w:hAnsi="Calibri Light" w:cs="Calibri Light" w:hint="cs"/>
          <w:rtl/>
        </w:rPr>
        <w:t>מי</w:t>
      </w:r>
      <w:r>
        <w:rPr>
          <w:rFonts w:ascii="Calibri Light" w:hAnsi="Calibri Light" w:cs="Calibri Light" w:hint="cs"/>
          <w:rtl/>
        </w:rPr>
        <w:t xml:space="preserve"> מדיניות מס, מדיניות סביבתית ומודלים, מדיניות תחבורה, מדיניות ציבורית וניתוח כלכלי. אנחנו מקווים ש</w:t>
      </w:r>
      <w:r w:rsidR="00053C1C">
        <w:rPr>
          <w:rFonts w:ascii="Calibri Light" w:hAnsi="Calibri Light" w:cs="Calibri Light" w:hint="cs"/>
          <w:rtl/>
        </w:rPr>
        <w:t>דו"ח זה יתרום</w:t>
      </w:r>
      <w:r>
        <w:rPr>
          <w:rFonts w:ascii="Calibri Light" w:hAnsi="Calibri Light" w:cs="Calibri Light" w:hint="cs"/>
          <w:rtl/>
        </w:rPr>
        <w:t xml:space="preserve"> תרומה משמעותית למחלוקת הציבורית בנוגע לפתרון בעיית הגודש הגוברת בישראל</w:t>
      </w:r>
      <w:r w:rsidR="00053C1C">
        <w:rPr>
          <w:rFonts w:ascii="Calibri Light" w:hAnsi="Calibri Light" w:cs="Calibri Light" w:hint="cs"/>
          <w:rtl/>
        </w:rPr>
        <w:t>"</w:t>
      </w:r>
      <w:r>
        <w:rPr>
          <w:rFonts w:ascii="Calibri Light" w:hAnsi="Calibri Light" w:cs="Calibri Light" w:hint="cs"/>
          <w:rtl/>
        </w:rPr>
        <w:t>.</w:t>
      </w:r>
    </w:p>
    <w:p w14:paraId="1B67571A" w14:textId="49AC5EB7" w:rsidR="00A762A1" w:rsidRPr="00A762A1" w:rsidRDefault="00A762A1" w:rsidP="00A762A1">
      <w:pPr>
        <w:rPr>
          <w:rFonts w:ascii="Calibri Light" w:hAnsi="Calibri Light" w:cs="Calibri Light"/>
          <w:rtl/>
        </w:rPr>
      </w:pPr>
      <w:r w:rsidRPr="00A762A1">
        <w:rPr>
          <w:rFonts w:ascii="Calibri Light" w:hAnsi="Calibri Light" w:cs="Calibri Light" w:hint="cs"/>
          <w:b/>
          <w:bCs/>
          <w:rtl/>
        </w:rPr>
        <w:t xml:space="preserve">מר אורי יוגב, יו"ר </w:t>
      </w:r>
      <w:r w:rsidRPr="00A762A1">
        <w:rPr>
          <w:rFonts w:ascii="Calibri Light" w:hAnsi="Calibri Light" w:cs="Calibri Light"/>
          <w:b/>
          <w:bCs/>
        </w:rPr>
        <w:t>Future Mobility IL Chairman</w:t>
      </w:r>
      <w:r w:rsidRPr="00A762A1">
        <w:rPr>
          <w:rFonts w:ascii="Calibri Light" w:hAnsi="Calibri Light" w:cs="Calibri Light" w:hint="cs"/>
          <w:b/>
          <w:bCs/>
          <w:rtl/>
        </w:rPr>
        <w:t>:</w:t>
      </w:r>
      <w:r w:rsidRPr="00A762A1">
        <w:rPr>
          <w:rFonts w:ascii="Calibri Light" w:hAnsi="Calibri Light" w:cs="Calibri Light" w:hint="cs"/>
          <w:rtl/>
        </w:rPr>
        <w:t xml:space="preserve"> "הדוח של ה</w:t>
      </w:r>
      <w:r w:rsidRPr="00A762A1">
        <w:rPr>
          <w:rFonts w:ascii="Calibri Light" w:hAnsi="Calibri Light" w:cs="Calibri Light"/>
        </w:rPr>
        <w:t>OECD</w:t>
      </w:r>
      <w:r w:rsidRPr="00A762A1">
        <w:rPr>
          <w:rFonts w:ascii="Calibri Light" w:hAnsi="Calibri Light" w:cs="Calibri Light" w:hint="cs"/>
          <w:rtl/>
        </w:rPr>
        <w:t xml:space="preserve"> חשוב מאוד ומחזק את המסר המרכזי של </w:t>
      </w:r>
      <w:r w:rsidRPr="00A762A1">
        <w:rPr>
          <w:rFonts w:ascii="Calibri Light" w:hAnsi="Calibri Light" w:cs="Calibri Light"/>
        </w:rPr>
        <w:t xml:space="preserve">Future Mobility IL </w:t>
      </w:r>
      <w:r w:rsidRPr="00A762A1">
        <w:rPr>
          <w:rFonts w:ascii="Calibri Light" w:hAnsi="Calibri Light" w:cs="Calibri Light" w:hint="cs"/>
          <w:rtl/>
        </w:rPr>
        <w:t xml:space="preserve">. כדי לפתור את משבר הפקקים והגודש בישראל הממשלה חייבת להציג תוכנית </w:t>
      </w:r>
      <w:r w:rsidR="00755CD0" w:rsidRPr="00A762A1">
        <w:rPr>
          <w:rFonts w:ascii="Calibri Light" w:hAnsi="Calibri Light" w:cs="Calibri Light" w:hint="cs"/>
          <w:rtl/>
        </w:rPr>
        <w:t>הוליסטית</w:t>
      </w:r>
      <w:r w:rsidRPr="00A762A1">
        <w:rPr>
          <w:rFonts w:ascii="Calibri Light" w:hAnsi="Calibri Light" w:cs="Calibri Light" w:hint="cs"/>
          <w:rtl/>
        </w:rPr>
        <w:t xml:space="preserve"> לשיפור התחבורה הציבורית, ליישם אגרות גודש, לפתוח את השוק לתחבורה שיתופית ולהשקיע בתשתיות אופניים. יישום מהלכים אלה יכול להפחית את הגודש בכ-50% תוך שנתיים".  </w:t>
      </w:r>
    </w:p>
    <w:p w14:paraId="27EACAF2" w14:textId="2D47F963" w:rsidR="00A54ECF" w:rsidRDefault="00A54ECF">
      <w:pPr>
        <w:bidi w:val="0"/>
        <w:spacing w:before="120"/>
        <w:jc w:val="both"/>
        <w:rPr>
          <w:rFonts w:cstheme="minorHAnsi"/>
        </w:rPr>
      </w:pPr>
    </w:p>
    <w:p w14:paraId="75786DEB" w14:textId="77777777" w:rsidR="00A54ECF" w:rsidRDefault="00A54ECF" w:rsidP="00A54ECF">
      <w:pPr>
        <w:bidi w:val="0"/>
        <w:spacing w:before="120"/>
        <w:rPr>
          <w:rFonts w:cstheme="minorHAnsi"/>
        </w:rPr>
      </w:pPr>
      <w:r>
        <w:rPr>
          <w:rFonts w:cstheme="minorHAnsi"/>
        </w:rPr>
        <w:t xml:space="preserve"> </w:t>
      </w:r>
    </w:p>
    <w:p w14:paraId="281DBF91" w14:textId="77777777" w:rsidR="00BA19DC" w:rsidRDefault="00BA19DC" w:rsidP="00BA19DC">
      <w:pPr>
        <w:rPr>
          <w:rFonts w:cstheme="minorHAnsi" w:hint="cs"/>
          <w:rtl/>
        </w:rPr>
      </w:pPr>
      <w:r>
        <w:rPr>
          <w:rFonts w:cstheme="minorHAnsi"/>
        </w:rPr>
        <w:br w:type="page"/>
      </w:r>
    </w:p>
    <w:p w14:paraId="184AE66F" w14:textId="77777777" w:rsidR="00BA19DC" w:rsidRDefault="00BA19DC" w:rsidP="00BA19DC">
      <w:pPr>
        <w:bidi w:val="0"/>
        <w:rPr>
          <w:rFonts w:cstheme="minorHAnsi"/>
        </w:rPr>
      </w:pPr>
    </w:p>
    <w:p w14:paraId="0C76F21D" w14:textId="77777777" w:rsidR="009512A9" w:rsidRPr="009512A9" w:rsidRDefault="009512A9" w:rsidP="009512A9">
      <w:pPr>
        <w:bidi w:val="0"/>
        <w:jc w:val="right"/>
      </w:pPr>
    </w:p>
    <w:sectPr w:rsidR="009512A9" w:rsidRPr="009512A9" w:rsidSect="0074151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A6ACF"/>
    <w:multiLevelType w:val="hybridMultilevel"/>
    <w:tmpl w:val="B832D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0B5E89"/>
    <w:multiLevelType w:val="hybridMultilevel"/>
    <w:tmpl w:val="DF0E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9"/>
    <w:rsid w:val="00053C1C"/>
    <w:rsid w:val="00105FB3"/>
    <w:rsid w:val="001725E6"/>
    <w:rsid w:val="002E7CEA"/>
    <w:rsid w:val="003222D7"/>
    <w:rsid w:val="003B4E19"/>
    <w:rsid w:val="003E4985"/>
    <w:rsid w:val="00535F59"/>
    <w:rsid w:val="005373CA"/>
    <w:rsid w:val="00543790"/>
    <w:rsid w:val="0060716C"/>
    <w:rsid w:val="006B3B55"/>
    <w:rsid w:val="0074151C"/>
    <w:rsid w:val="00747B7F"/>
    <w:rsid w:val="00755CD0"/>
    <w:rsid w:val="00772CA4"/>
    <w:rsid w:val="0079137A"/>
    <w:rsid w:val="007943EE"/>
    <w:rsid w:val="00862EE1"/>
    <w:rsid w:val="008F00D8"/>
    <w:rsid w:val="0090359D"/>
    <w:rsid w:val="00924829"/>
    <w:rsid w:val="009512A9"/>
    <w:rsid w:val="009E7945"/>
    <w:rsid w:val="009F1FDF"/>
    <w:rsid w:val="00A02CB7"/>
    <w:rsid w:val="00A241DF"/>
    <w:rsid w:val="00A54ECF"/>
    <w:rsid w:val="00A762A1"/>
    <w:rsid w:val="00A85159"/>
    <w:rsid w:val="00B14E4B"/>
    <w:rsid w:val="00BA19DC"/>
    <w:rsid w:val="00BA3778"/>
    <w:rsid w:val="00C0486E"/>
    <w:rsid w:val="00E102C2"/>
    <w:rsid w:val="00E1419A"/>
    <w:rsid w:val="00E156EB"/>
    <w:rsid w:val="00FC66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F602C"/>
  <w15:chartTrackingRefBased/>
  <w15:docId w15:val="{C9D69638-11F1-4771-B6E7-412E9F0C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12A9"/>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9512A9"/>
    <w:rPr>
      <w:rFonts w:ascii="Tahoma" w:hAnsi="Tahoma" w:cs="Tahoma"/>
      <w:sz w:val="18"/>
      <w:szCs w:val="18"/>
    </w:rPr>
  </w:style>
  <w:style w:type="paragraph" w:styleId="a5">
    <w:name w:val="List Paragraph"/>
    <w:basedOn w:val="a"/>
    <w:uiPriority w:val="34"/>
    <w:qFormat/>
    <w:rsid w:val="00BA19DC"/>
    <w:pPr>
      <w:tabs>
        <w:tab w:val="left" w:pos="850"/>
        <w:tab w:val="left" w:pos="1191"/>
        <w:tab w:val="left" w:pos="1531"/>
      </w:tabs>
      <w:bidi w:val="0"/>
      <w:spacing w:after="0" w:line="240" w:lineRule="auto"/>
      <w:ind w:left="720"/>
      <w:contextualSpacing/>
      <w:jc w:val="both"/>
    </w:pPr>
    <w:rPr>
      <w:rFonts w:ascii="Times New Roman" w:hAnsi="Times New Roman" w:cs="Times New Roman"/>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61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ECDProjectMembers xmlns="b028c3f4-2795-4946-841c-2e1644b148e5">
      <UserInfo>
        <DisplayName>TALIDI Fatima, ECO/CSB</DisplayName>
        <AccountId>817</AccountId>
        <AccountType/>
      </UserInfo>
      <UserInfo>
        <DisplayName>CORREIA GOMES Andrea, ECO/CSB</DisplayName>
        <AccountId>2555</AccountId>
        <AccountType/>
      </UserInfo>
      <UserInfo>
        <DisplayName>PEREIRA Alvaro, ECO/CSB</DisplayName>
        <AccountId>658</AccountId>
        <AccountType/>
      </UserInfo>
      <UserInfo>
        <DisplayName>KOSKE Isabell, ECO/CSB</DisplayName>
        <AccountId>271</AccountId>
        <AccountType/>
      </UserInfo>
      <UserInfo>
        <DisplayName>BORINAN Patricia, ECO/CSB</DisplayName>
        <AccountId>67</AccountId>
        <AccountType/>
      </UserInfo>
      <UserInfo>
        <DisplayName>MIRANDA Mathieu, ECO/CSB</DisplayName>
        <AccountId>2934</AccountId>
        <AccountType/>
      </UserInfo>
    </OECDProjectMembers>
    <OECDProjectManager xmlns="b028c3f4-2795-4946-841c-2e1644b148e5">
      <UserInfo>
        <DisplayName/>
        <AccountId>3318</AccountId>
        <AccountType/>
      </UserInfo>
    </OECDProjectManager>
    <eShareCountryTaxHTField0 xmlns="c9f238dd-bb73-4aef-a7a5-d644ad823e52">
      <Terms xmlns="http://schemas.microsoft.com/office/infopath/2007/PartnerControls">
        <TermInfo xmlns="http://schemas.microsoft.com/office/infopath/2007/PartnerControls">
          <TermName xmlns="http://schemas.microsoft.com/office/infopath/2007/PartnerControls">Israel</TermName>
          <TermId xmlns="http://schemas.microsoft.com/office/infopath/2007/PartnerControls">f008af35-633b-40c7-80a9-f7abeefc938b</TermId>
        </TermInfo>
      </Term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Reform implementation</TermName>
          <TermId xmlns="http://schemas.microsoft.com/office/infopath/2007/PartnerControls">05a0918b-6eb5-4888-8610-7172cb1315dc</TermId>
        </TermInfo>
      </Terms>
    </eShareTopicTaxHTField0>
    <OECDProjectLookup xmlns="b028c3f4-2795-4946-841c-2e1644b148e5">280</OECDProjectLookup>
    <bc65155f859f476689f41d2e239f3b65 xmlns="464847da-6e18-4144-8ad5-5857903e06b6">
      <Terms xmlns="http://schemas.microsoft.com/office/infopath/2007/PartnerControls"/>
    </bc65155f859f476689f41d2e239f3b65>
    <eSharePWBTaxHTField0 xmlns="c9f238dd-bb73-4aef-a7a5-d644ad823e52">
      <Terms xmlns="http://schemas.microsoft.com/office/infopath/2007/PartnerControls"/>
    </eSharePWBTaxHTField0>
    <TaxCatchAll xmlns="ca82dde9-3436-4d3d-bddd-d31447390034">
      <Value>406</Value>
      <Value>809</Value>
      <Value>115</Value>
      <Value>7</Value>
    </TaxCatchAll>
    <eShareKeywordsTaxHTField0 xmlns="c9f238dd-bb73-4aef-a7a5-d644ad823e52">
      <Terms xmlns="http://schemas.microsoft.com/office/infopath/2007/PartnerControls"/>
    </eShareKeywordsTaxHTField0>
    <eShareCommitteeTaxHTField0 xmlns="c9f238dd-bb73-4aef-a7a5-d644ad823e52">
      <Terms xmlns="http://schemas.microsoft.com/office/infopath/2007/PartnerControls">
        <TermInfo xmlns="http://schemas.microsoft.com/office/infopath/2007/PartnerControls">
          <TermName xmlns="http://schemas.microsoft.com/office/infopath/2007/PartnerControls">Economic and Development Review Committee</TermName>
          <TermId xmlns="http://schemas.microsoft.com/office/infopath/2007/PartnerControls">840183ab-1230-4c26-8173-7c81fe31937a</TermId>
        </TermInfo>
      </Terms>
    </eShareCommitteeTaxHTField0>
    <k521ff600dac4d78b40e1e44ce493525 xmlns="b028c3f4-2795-4946-841c-2e1644b148e5">
      <Terms xmlns="http://schemas.microsoft.com/office/infopath/2007/PartnerControls">
        <TermInfo xmlns="http://schemas.microsoft.com/office/infopath/2007/PartnerControls">
          <TermName xmlns="http://schemas.microsoft.com/office/infopath/2007/PartnerControls">ECO/CS</TermName>
          <TermId xmlns="http://schemas.microsoft.com/office/infopath/2007/PartnerControls">32bdfd45-0d5e-4001-b74c-968381a5c4d6</TermId>
        </TermInfo>
      </Terms>
    </k521ff600dac4d78b40e1e44ce493525>
    <OECDKimBussinessContext xmlns="54c4cd27-f286-408f-9ce0-33c1e0f3ab39" xsi:nil="true"/>
    <OECDlanguage xmlns="ca82dde9-3436-4d3d-bddd-d31447390034">English</OECDlanguage>
    <OECDCommunityDocumentID xmlns="b028c3f4-2795-4946-841c-2e1644b148e5" xsi:nil="true"/>
    <eShareHorizProjTaxHTField0 xmlns="464847da-6e18-4144-8ad5-5857903e06b6" xsi:nil="true"/>
    <IconOverlay xmlns="http://schemas.microsoft.com/sharepoint/v4" xsi:nil="true"/>
    <DocumentSetDescription xmlns="http://schemas.microsoft.com/sharepoint/v3" xsi:nil="true"/>
    <OECDCommunityDocumentURL xmlns="b028c3f4-2795-4946-841c-2e1644b148e5" xsi:nil="true"/>
    <OECDExpirationDate xmlns="464847da-6e18-4144-8ad5-5857903e06b6" xsi:nil="true"/>
    <OECDPinnedBy xmlns="b028c3f4-2795-4946-841c-2e1644b148e5">
      <UserInfo>
        <DisplayName/>
        <AccountId xsi:nil="true"/>
        <AccountType/>
      </UserInfo>
    </OECDPinnedBy>
    <OECDMeetingDate xmlns="54c4cd27-f286-408f-9ce0-33c1e0f3ab39" xsi:nil="true"/>
    <OECDTagsCache xmlns="b028c3f4-2795-4946-841c-2e1644b148e5" xsi:nil="true"/>
    <OECDAllRelatedUsers xmlns="464847da-6e18-4144-8ad5-5857903e06b6">
      <UserInfo>
        <DisplayName/>
        <AccountId xsi:nil="true"/>
        <AccountType/>
      </UserInfo>
    </OECDAllRelatedUsers>
    <OECDYear xmlns="54c4cd27-f286-408f-9ce0-33c1e0f3ab39" xsi:nil="true"/>
    <OECDKimProvenance xmlns="54c4cd27-f286-408f-9ce0-33c1e0f3ab39" xsi:nil="true"/>
    <OECDMainProject xmlns="b028c3f4-2795-4946-841c-2e1644b148e5" xsi:nil="true"/>
    <OECDKimStatus xmlns="54c4cd27-f286-408f-9ce0-33c1e0f3ab39">Draft</OECDKimStatus>
    <OECDSharingStatus xmlns="b028c3f4-2795-4946-841c-2e1644b148e5" xsi:nil="true"/>
  </documentManagement>
</p:properties>
</file>

<file path=customXml/item2.xml><?xml version="1.0" encoding="utf-8"?>
<?mso-contentType ?>
<FormTemplates xmlns="http://schemas.microsoft.com/sharepoint/v3/contenttype/forms">
  <Display>OECDListFormCollapsible</Display>
  <Edit>OECDListFormCollapsible</Edit>
  <New>OECDListFormCollapsible</New>
</FormTemplates>
</file>

<file path=customXml/item3.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6.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293773D153AD3C41920164F348570E54" ma:contentTypeVersion="636" ma:contentTypeDescription="" ma:contentTypeScope="" ma:versionID="0bfc57893e241645835596e3f8eeb575">
  <xsd:schema xmlns:xsd="http://www.w3.org/2001/XMLSchema" xmlns:xs="http://www.w3.org/2001/XMLSchema" xmlns:p="http://schemas.microsoft.com/office/2006/metadata/properties" xmlns:ns1="http://schemas.microsoft.com/sharepoint/v3" xmlns:ns2="54c4cd27-f286-408f-9ce0-33c1e0f3ab39" xmlns:ns3="464847da-6e18-4144-8ad5-5857903e06b6" xmlns:ns4="ca82dde9-3436-4d3d-bddd-d31447390034" xmlns:ns5="b028c3f4-2795-4946-841c-2e1644b148e5" xmlns:ns6="c9f238dd-bb73-4aef-a7a5-d644ad823e52" xmlns:ns7="http://schemas.microsoft.com/sharepoint/v4" targetNamespace="http://schemas.microsoft.com/office/2006/metadata/properties" ma:root="true" ma:fieldsID="a0e943a6fb82b0cdedfd54b095a035f0" ns1:_="" ns2:_="" ns3:_="" ns4:_="" ns5:_="" ns6:_="" ns7:_="">
    <xsd:import namespace="http://schemas.microsoft.com/sharepoint/v3"/>
    <xsd:import namespace="54c4cd27-f286-408f-9ce0-33c1e0f3ab39"/>
    <xsd:import namespace="464847da-6e18-4144-8ad5-5857903e06b6"/>
    <xsd:import namespace="ca82dde9-3436-4d3d-bddd-d31447390034"/>
    <xsd:import namespace="b028c3f4-2795-4946-841c-2e1644b148e5"/>
    <xsd:import namespace="c9f238dd-bb73-4aef-a7a5-d644ad823e52"/>
    <xsd:import namespace="http://schemas.microsoft.com/sharepoint/v4"/>
    <xsd:element name="properties">
      <xsd:complexType>
        <xsd:sequence>
          <xsd:element name="documentManagement">
            <xsd:complexType>
              <xsd:all>
                <xsd:element ref="ns2:OECDMeetingDate" minOccurs="0"/>
                <xsd:element ref="ns4:OECDlanguage" minOccurs="0"/>
                <xsd:element ref="ns3:OECDExpirationDate" minOccurs="0"/>
                <xsd:element ref="ns5:OECDProjectLookup" minOccurs="0"/>
                <xsd:element ref="ns5:OECDProjectManager" minOccurs="0"/>
                <xsd:element ref="ns5:OECDProjectMembers" minOccurs="0"/>
                <xsd:element ref="ns5:OECDMainProject" minOccurs="0"/>
                <xsd:element ref="ns5:OECDPinnedBy" minOccurs="0"/>
                <xsd:element ref="ns2:OECDKimStatus" minOccurs="0"/>
                <xsd:element ref="ns5:OECDTagsCache" minOccurs="0"/>
                <xsd:element ref="ns3:_dlc_DocIdUrl" minOccurs="0"/>
                <xsd:element ref="ns6:eShareCountryTaxHTField0" minOccurs="0"/>
                <xsd:element ref="ns6:eShareTopicTaxHTField0" minOccurs="0"/>
                <xsd:element ref="ns6:eShareKeywordsTaxHTField0" minOccurs="0"/>
                <xsd:element ref="ns6:eShareCommitteeTaxHTField0" minOccurs="0"/>
                <xsd:element ref="ns6:eSharePWBTaxHTField0" minOccurs="0"/>
                <xsd:element ref="ns5:Project_x003a_Project_x0020_status" minOccurs="0"/>
                <xsd:element ref="ns4:TaxCatchAllLabel" minOccurs="0"/>
                <xsd:element ref="ns2:OECDKimBussinessContext" minOccurs="0"/>
                <xsd:element ref="ns3:_dlc_DocIdPersistId" minOccurs="0"/>
                <xsd:element ref="ns4:TaxCatchAll" minOccurs="0"/>
                <xsd:element ref="ns7:IconOverlay" minOccurs="0"/>
                <xsd:element ref="ns3:_dlc_DocId" minOccurs="0"/>
                <xsd:element ref="ns2:OECDKimProvenance" minOccurs="0"/>
                <xsd:element ref="ns3:bc65155f859f476689f41d2e239f3b65" minOccurs="0"/>
                <xsd:element ref="ns5:k521ff600dac4d78b40e1e44ce493525" minOccurs="0"/>
                <xsd:element ref="ns1:DocumentSetDescription" minOccurs="0"/>
                <xsd:element ref="ns5:OECDSharingStatus" minOccurs="0"/>
                <xsd:element ref="ns5:OECDCommunityDocumentURL" minOccurs="0"/>
                <xsd:element ref="ns5:OECDCommunityDocumentID" minOccurs="0"/>
                <xsd:element ref="ns3:eShareHorizProjTaxHTField0" minOccurs="0"/>
                <xsd:element ref="ns3:OECDAllRelatedUsers" minOccurs="0"/>
                <xsd:element ref="ns5:SharedWithUsers" minOccurs="0"/>
                <xsd:element ref="ns2:OECD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40"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MeetingDate" ma:index="4" nillable="true" ma:displayName="Meeting Date" ma:default="" ma:format="DateOnly" ma:hidden="true" ma:internalName="OECDMeetingDate">
      <xsd:simpleType>
        <xsd:restriction base="dms:DateTime"/>
      </xsd:simpleType>
    </xsd:element>
    <xsd:element name="OECDKimStatus" ma:index="16" nillable="true" ma:displayName="Kim status" ma:default="Draft" ma:description="" ma:format="Dropdown" ma:hidden="true" ma:internalName="OECDKimStatus">
      <xsd:simpleType>
        <xsd:restriction base="dms:Choice">
          <xsd:enumeration value="Draft"/>
          <xsd:enumeration value="Final"/>
        </xsd:restriction>
      </xsd:simpleType>
    </xsd:element>
    <xsd:element name="OECDKimBussinessContext" ma:index="27" nillable="true" ma:displayName="Kim bussiness context" ma:description="" ma:hidden="true" ma:internalName="OECDKimBussinessContext" ma:readOnly="false">
      <xsd:simpleType>
        <xsd:restriction base="dms:Text"/>
      </xsd:simpleType>
    </xsd:element>
    <xsd:element name="OECDKimProvenance" ma:index="34" nillable="true" ma:displayName="Kim provenance" ma:description="" ma:hidden="true" ma:internalName="OECDKimProvenance" ma:readOnly="false">
      <xsd:simpleType>
        <xsd:restriction base="dms:Text">
          <xsd:maxLength value="255"/>
        </xsd:restriction>
      </xsd:simpleType>
    </xsd:element>
    <xsd:element name="OECDYear" ma:index="49" nillable="true" ma:displayName="Year" ma:description="" ma:internalName="OECDYea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4847da-6e18-4144-8ad5-5857903e06b6"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xsd:simpleType>
        <xsd:restriction base="dms:DateTime"/>
      </xsd:simpleType>
    </xsd:element>
    <xsd:element name="_dlc_DocIdUrl" ma:index="18" nillable="true" ma:displayName="Document ID" ma:description=""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_dlc_DocId" ma:index="33" nillable="true" ma:displayName="Document ID" ma:description="" ma:hidden="true" ma:internalName="_dlc_DocId" ma:readOnly="true">
      <xsd:simpleType>
        <xsd:restriction base="dms:Text"/>
      </xsd:simpleType>
    </xsd:element>
    <xsd:element name="bc65155f859f476689f41d2e239f3b65" ma:index="37" nillable="true" ma:taxonomy="true" ma:internalName="bc65155f859f476689f41d2e239f3b65" ma:taxonomyFieldName="OECDHorizontalProjects" ma:displayName="Horizontal project" ma:readOnly="false" ma:default="" ma:fieldId="{bc65155f-859f-4766-89f4-1d2e239f3b65}"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4" nillable="true" ma:displayName="OECDHorizontalProjects_0" ma:description="" ma:hidden="true" ma:internalName="eShareHorizProjTaxHTField0">
      <xsd:simpleType>
        <xsd:restriction base="dms:Note"/>
      </xsd:simpleType>
    </xsd:element>
    <xsd:element name="OECDAllRelatedUsers" ma:index="47"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OECDlanguage" ma:index="5"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Label" ma:index="26" nillable="true" ma:displayName="Taxonomy Catch All Column1" ma:hidden="true" ma:list="{f238c0b0-3384-41ab-af60-ab39d110a44d}" ma:internalName="TaxCatchAllLabel" ma:readOnly="true" ma:showField="CatchAllDataLabel" ma:web="464847da-6e18-4144-8ad5-5857903e06b6">
      <xsd:complexType>
        <xsd:complexContent>
          <xsd:extension base="dms:MultiChoiceLookup">
            <xsd:sequence>
              <xsd:element name="Value" type="dms:Lookup" maxOccurs="unbounded" minOccurs="0" nillable="true"/>
            </xsd:sequence>
          </xsd:extension>
        </xsd:complexContent>
      </xsd:complexType>
    </xsd:element>
    <xsd:element name="TaxCatchAll" ma:index="31" nillable="true" ma:displayName="Taxonomy Catch All Column" ma:hidden="true" ma:list="{f238c0b0-3384-41ab-af60-ab39d110a44d}" ma:internalName="TaxCatchAll" ma:showField="CatchAllData" ma:web="464847da-6e18-4144-8ad5-5857903e06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028c3f4-2795-4946-841c-2e1644b148e5"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8fd64a43-52c7-4b87-a931-a975dc3d108c" ma:internalName="OECDProjectLookup" ma:readOnly="false" ma:showField="OECDShortProjectName" ma:web="b028c3f4-2795-4946-841c-2e1644b148e5">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8fd64a43-52c7-4b87-a931-a975dc3d108c"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TagsCache" ma:index="17" nillable="true" ma:displayName="Tags cache" ma:description="" ma:hidden="true" ma:internalName="OECDTagsCache">
      <xsd:simpleType>
        <xsd:restriction base="dms:Note"/>
      </xsd:simpleType>
    </xsd:element>
    <xsd:element name="Project_x003a_Project_x0020_status" ma:index="25" nillable="true" ma:displayName="Project:Project status" ma:hidden="true" ma:list="8fd64a43-52c7-4b87-a931-a975dc3d108c" ma:internalName="Project_x003A_Project_x0020_status" ma:readOnly="true" ma:showField="OECDProjectStatus" ma:web="b028c3f4-2795-4946-841c-2e1644b148e5">
      <xsd:simpleType>
        <xsd:restriction base="dms:Lookup"/>
      </xsd:simpleType>
    </xsd:element>
    <xsd:element name="k521ff600dac4d78b40e1e44ce493525" ma:index="38" nillable="true" ma:taxonomy="true" ma:internalName="k521ff600dac4d78b40e1e44ce493525" ma:taxonomyFieldName="OECDProjectOwnerStructure" ma:displayName="Project owner" ma:readOnly="false" ma:default="" ma:fieldId="4521ff60-0dac-4d78-b40e-1e44ce493525"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41" nillable="true" ma:displayName="O.N.E Document Sharing Status" ma:description="" ma:hidden="true" ma:internalName="OECDSharingStatus">
      <xsd:simpleType>
        <xsd:restriction base="dms:Text"/>
      </xsd:simpleType>
    </xsd:element>
    <xsd:element name="OECDCommunityDocumentURL" ma:index="42" nillable="true" ma:displayName="O.N.E Community Document URL" ma:description="" ma:hidden="true" ma:internalName="OECDCommunityDocumentURL">
      <xsd:simpleType>
        <xsd:restriction base="dms:Text"/>
      </xsd:simpleType>
    </xsd:element>
    <xsd:element name="OECDCommunityDocumentID" ma:index="43" nillable="true" ma:displayName="O.N.E Community Document ID" ma:decimals="0" ma:description="" ma:hidden="true" ma:internalName="OECDCommunityDocumentID">
      <xsd:simpleType>
        <xsd:restriction base="dms:Number"/>
      </xsd:simpleType>
    </xsd:element>
    <xsd:element name="SharedWithUsers" ma:index="4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20"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21"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2"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3" nillable="true" ma:taxonomy="true" ma:internalName="eShareCommitteeTaxHTField0" ma:taxonomyFieldName="OECDCommittee" ma:displayName="Committee" ma:default=""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4" nillable="true" ma:taxonomy="true" ma:internalName="eSharePWBTaxHTField0" ma:taxonomyFieldName="OECDPWB" ma:displayName="PWB" ma:default="" ma:fieldId="{fe327ce1-b783-48aa-9b0b-52ad26d1c9f6}" ma:taxonomyMulti="true"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6AC8BA-AA86-4998-968C-94DF7E70091D}">
  <ds:schemaRefs>
    <ds:schemaRef ds:uri="http://schemas.microsoft.com/office/2006/metadata/properties"/>
    <ds:schemaRef ds:uri="http://schemas.microsoft.com/office/infopath/2007/PartnerControls"/>
    <ds:schemaRef ds:uri="b028c3f4-2795-4946-841c-2e1644b148e5"/>
    <ds:schemaRef ds:uri="c9f238dd-bb73-4aef-a7a5-d644ad823e52"/>
    <ds:schemaRef ds:uri="464847da-6e18-4144-8ad5-5857903e06b6"/>
    <ds:schemaRef ds:uri="ca82dde9-3436-4d3d-bddd-d31447390034"/>
    <ds:schemaRef ds:uri="54c4cd27-f286-408f-9ce0-33c1e0f3ab39"/>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9F076253-81D7-4178-9E83-AD0E0399A5D9}">
  <ds:schemaRefs>
    <ds:schemaRef ds:uri="http://schemas.microsoft.com/sharepoint/v3/contenttype/forms"/>
  </ds:schemaRefs>
</ds:datastoreItem>
</file>

<file path=customXml/itemProps3.xml><?xml version="1.0" encoding="utf-8"?>
<ds:datastoreItem xmlns:ds="http://schemas.openxmlformats.org/officeDocument/2006/customXml" ds:itemID="{FA74CAD4-C099-4696-815C-5BF9D11193E5}">
  <ds:schemaRefs>
    <ds:schemaRef ds:uri="http://www.oecd.org/eshare/projectsentre/CtFieldPriority/"/>
    <ds:schemaRef ds:uri="http://schemas.microsoft.com/2003/10/Serialization/Arrays"/>
  </ds:schemaRefs>
</ds:datastoreItem>
</file>

<file path=customXml/itemProps4.xml><?xml version="1.0" encoding="utf-8"?>
<ds:datastoreItem xmlns:ds="http://schemas.openxmlformats.org/officeDocument/2006/customXml" ds:itemID="{ACCCB232-638A-41C6-8FC0-7557697E76FF}">
  <ds:schemaRefs>
    <ds:schemaRef ds:uri="http://schemas.microsoft.com/sharepoint/events"/>
  </ds:schemaRefs>
</ds:datastoreItem>
</file>

<file path=customXml/itemProps5.xml><?xml version="1.0" encoding="utf-8"?>
<ds:datastoreItem xmlns:ds="http://schemas.openxmlformats.org/officeDocument/2006/customXml" ds:itemID="{3846E471-D58B-49A9-AB89-82C9EC137D3F}">
  <ds:schemaRefs>
    <ds:schemaRef ds:uri="Microsoft.SharePoint.Taxonomy.ContentTypeSync"/>
  </ds:schemaRefs>
</ds:datastoreItem>
</file>

<file path=customXml/itemProps6.xml><?xml version="1.0" encoding="utf-8"?>
<ds:datastoreItem xmlns:ds="http://schemas.openxmlformats.org/officeDocument/2006/customXml" ds:itemID="{95C6BF2B-5897-4706-B421-028876970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c4cd27-f286-408f-9ce0-33c1e0f3ab39"/>
    <ds:schemaRef ds:uri="464847da-6e18-4144-8ad5-5857903e06b6"/>
    <ds:schemaRef ds:uri="ca82dde9-3436-4d3d-bddd-d31447390034"/>
    <ds:schemaRef ds:uri="b028c3f4-2795-4946-841c-2e1644b148e5"/>
    <ds:schemaRef ds:uri="c9f238dd-bb73-4aef-a7a5-d644ad823e5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2940</Characters>
  <Application>Microsoft Office Word</Application>
  <DocSecurity>0</DocSecurity>
  <Lines>24</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2019-12-01T10:39:00Z</dcterms:created>
  <dcterms:modified xsi:type="dcterms:W3CDTF">2019-12-01T10:39:00Z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Country">
    <vt:lpwstr>115;#Israel|f008af35-633b-40c7-80a9-f7abeefc938b</vt:lpwstr>
  </property>
  <property fmtid="{D5CDD505-2E9C-101B-9397-08002B2CF9AE}" pid="3" name="OECDTopic">
    <vt:lpwstr>809;#Reform implementation|05a0918b-6eb5-4888-8610-7172cb1315dc</vt:lpwstr>
  </property>
  <property fmtid="{D5CDD505-2E9C-101B-9397-08002B2CF9AE}" pid="4" name="OECDCommittee">
    <vt:lpwstr>7;#Economic and Development Review Committee|840183ab-1230-4c26-8173-7c81fe31937a</vt:lpwstr>
  </property>
  <property fmtid="{D5CDD505-2E9C-101B-9397-08002B2CF9AE}" pid="5" name="ContentTypeId">
    <vt:lpwstr>0x0101008B4DD370EC31429186F3AD49F0D3098F00D44DBCB9EB4F45278CB5C9765BE5299500A4858B360C6A491AA753F8BCA47AA91000293773D153AD3C41920164F348570E54</vt:lpwstr>
  </property>
  <property fmtid="{D5CDD505-2E9C-101B-9397-08002B2CF9AE}" pid="6" name="OECDPWB">
    <vt:lpwstr/>
  </property>
  <property fmtid="{D5CDD505-2E9C-101B-9397-08002B2CF9AE}" pid="7" name="eShareOrganisationTaxHTField0">
    <vt:lpwstr/>
  </property>
  <property fmtid="{D5CDD505-2E9C-101B-9397-08002B2CF9AE}" pid="8" name="OECDKeywords">
    <vt:lpwstr/>
  </property>
  <property fmtid="{D5CDD505-2E9C-101B-9397-08002B2CF9AE}" pid="9" name="OECDHorizontalProjects">
    <vt:lpwstr/>
  </property>
  <property fmtid="{D5CDD505-2E9C-101B-9397-08002B2CF9AE}" pid="10" name="OECDProjectOwnerStructure">
    <vt:lpwstr>406;#ECO/CS|32bdfd45-0d5e-4001-b74c-968381a5c4d6</vt:lpwstr>
  </property>
  <property fmtid="{D5CDD505-2E9C-101B-9397-08002B2CF9AE}" pid="11" name="OECDOrganisation">
    <vt:lpwstr/>
  </property>
</Properties>
</file>